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CESI小标宋-GB2312" w:hAnsi="CESI小标宋-GB2312" w:eastAsia="CESI小标宋-GB2312" w:cs="CESI小标宋-GB2312"/>
          <w:sz w:val="44"/>
          <w:szCs w:val="44"/>
        </w:rPr>
      </w:pPr>
      <w:r>
        <w:rPr>
          <w:rFonts w:hint="eastAsia" w:ascii="CESI小标宋-GB2312" w:hAnsi="CESI小标宋-GB2312" w:eastAsia="CESI小标宋-GB2312" w:cs="CESI小标宋-GB2312"/>
          <w:sz w:val="44"/>
          <w:szCs w:val="44"/>
          <w:lang w:eastAsia="zh-CN"/>
        </w:rPr>
        <w:t>冠县</w:t>
      </w:r>
      <w:r>
        <w:rPr>
          <w:rFonts w:hint="eastAsia" w:ascii="CESI小标宋-GB2312" w:hAnsi="CESI小标宋-GB2312" w:eastAsia="CESI小标宋-GB2312" w:cs="CESI小标宋-GB2312"/>
          <w:sz w:val="44"/>
          <w:szCs w:val="44"/>
          <w:lang w:val="en-US" w:eastAsia="zh-CN"/>
        </w:rPr>
        <w:t>自然资源和规划局2021年</w:t>
      </w:r>
      <w:r>
        <w:rPr>
          <w:rFonts w:hint="eastAsia" w:ascii="CESI小标宋-GB2312" w:hAnsi="CESI小标宋-GB2312" w:eastAsia="CESI小标宋-GB2312" w:cs="CESI小标宋-GB2312"/>
          <w:sz w:val="44"/>
          <w:szCs w:val="44"/>
        </w:rPr>
        <w:t>政府信息公开工作年度报告</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CESI仿宋-GB2312" w:hAnsi="CESI仿宋-GB2312" w:eastAsia="CESI仿宋-GB2312" w:cs="CESI仿宋-GB2312"/>
          <w:color w:val="auto"/>
          <w:sz w:val="32"/>
          <w:szCs w:val="32"/>
        </w:rPr>
      </w:pPr>
    </w:p>
    <w:p>
      <w:pPr>
        <w:keepNext w:val="0"/>
        <w:keepLines w:val="0"/>
        <w:pageBreakBefore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本报告根据《中华人民共和国政府信息公开条例》（国务院令第711号，以下简称《条例》）要求编制而成。全文包括总体情况、主动公开政府信息情况、收到和处理政府信息公开申请情况、因政府信息公开工作被申请行政复议和提起行政诉讼情况、政府信息公开工作存在的主要问题及改进情况、其他需要报告的事项六部分。</w:t>
      </w:r>
      <w:bookmarkStart w:id="0" w:name="_Hlk67405801"/>
      <w:r>
        <w:rPr>
          <w:rFonts w:hint="eastAsia" w:ascii="仿宋_GB2312" w:eastAsia="仿宋_GB2312"/>
          <w:sz w:val="32"/>
          <w:szCs w:val="32"/>
          <w:lang w:val="en-US" w:eastAsia="zh-CN"/>
        </w:rPr>
        <w:t>本年度报告中所列数据统计期限从2021年1月1日到12月31日止</w:t>
      </w:r>
      <w:bookmarkEnd w:id="0"/>
      <w:r>
        <w:rPr>
          <w:rFonts w:hint="eastAsia" w:ascii="仿宋_GB2312" w:eastAsia="仿宋_GB2312"/>
          <w:sz w:val="32"/>
          <w:szCs w:val="32"/>
          <w:lang w:val="en-US" w:eastAsia="zh-CN"/>
        </w:rPr>
        <w:t>。本年度报告电子版可从冠县人民政府网站（http://www.guanxian.gov.cn）下载。如对本年度报告有疑问，请与冠县自然资源和规划局联系（电话:0635-5283625，电子邮箱:gxgtjbgs@lc.shandong.cn）。</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楷体_GB2312" w:eastAsia="楷体_GB2312"/>
          <w:sz w:val="32"/>
          <w:szCs w:val="32"/>
          <w:lang w:eastAsia="zh-CN"/>
        </w:rPr>
      </w:pPr>
      <w:r>
        <w:rPr>
          <w:rFonts w:hint="eastAsia" w:ascii="CESI黑体-GB2312" w:hAnsi="CESI黑体-GB2312" w:eastAsia="CESI黑体-GB2312" w:cs="CESI黑体-GB2312"/>
          <w:b w:val="0"/>
          <w:bCs w:val="0"/>
          <w:sz w:val="32"/>
          <w:szCs w:val="32"/>
          <w:lang w:eastAsia="zh-CN"/>
        </w:rPr>
        <w:t>一、</w:t>
      </w:r>
      <w:r>
        <w:rPr>
          <w:rFonts w:hint="eastAsia" w:ascii="CESI黑体-GB2312" w:hAnsi="CESI黑体-GB2312" w:eastAsia="CESI黑体-GB2312" w:cs="CESI黑体-GB2312"/>
          <w:b w:val="0"/>
          <w:bCs w:val="0"/>
          <w:sz w:val="32"/>
          <w:szCs w:val="32"/>
        </w:rPr>
        <w:t>总体情况</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CESI楷体-GB2312" w:hAnsi="CESI楷体-GB2312" w:eastAsia="CESI楷体-GB2312" w:cs="CESI楷体-GB2312"/>
          <w:b/>
          <w:bCs/>
          <w:sz w:val="32"/>
          <w:szCs w:val="32"/>
        </w:rPr>
      </w:pPr>
      <w:r>
        <w:rPr>
          <w:rFonts w:hint="eastAsia" w:ascii="CESI楷体-GB2312" w:hAnsi="CESI楷体-GB2312" w:eastAsia="CESI楷体-GB2312" w:cs="CESI楷体-GB2312"/>
          <w:b/>
          <w:bCs/>
          <w:sz w:val="32"/>
          <w:szCs w:val="32"/>
          <w:lang w:eastAsia="zh-CN"/>
        </w:rPr>
        <w:t>（一）</w:t>
      </w:r>
      <w:r>
        <w:rPr>
          <w:rFonts w:hint="eastAsia" w:ascii="CESI楷体-GB2312" w:hAnsi="CESI楷体-GB2312" w:eastAsia="CESI楷体-GB2312" w:cs="CESI楷体-GB2312"/>
          <w:b/>
          <w:bCs/>
          <w:sz w:val="32"/>
          <w:szCs w:val="32"/>
        </w:rPr>
        <w:t>主动公开</w:t>
      </w:r>
    </w:p>
    <w:p>
      <w:pPr>
        <w:keepNext w:val="0"/>
        <w:keepLines w:val="0"/>
        <w:pageBreakBefore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b w:val="0"/>
          <w:bCs w:val="0"/>
          <w:color w:val="auto"/>
          <w:sz w:val="32"/>
          <w:szCs w:val="32"/>
        </w:rPr>
      </w:pPr>
      <w:r>
        <w:rPr>
          <w:rFonts w:hint="eastAsia" w:ascii="仿宋_GB2312" w:eastAsia="仿宋_GB2312"/>
          <w:b/>
          <w:bCs/>
          <w:sz w:val="32"/>
          <w:szCs w:val="32"/>
          <w:lang w:eastAsia="zh-CN"/>
        </w:rPr>
        <w:t>一是</w:t>
      </w:r>
      <w:r>
        <w:rPr>
          <w:rFonts w:hint="eastAsia" w:ascii="仿宋_GB2312" w:eastAsia="仿宋_GB2312"/>
          <w:b/>
          <w:bCs/>
          <w:sz w:val="32"/>
          <w:szCs w:val="32"/>
        </w:rPr>
        <w:t>相关政府信息公开制度建设情况</w:t>
      </w:r>
      <w:r>
        <w:rPr>
          <w:rFonts w:hint="eastAsia" w:ascii="仿宋_GB2312" w:eastAsia="仿宋_GB2312"/>
          <w:b/>
          <w:bCs/>
          <w:sz w:val="32"/>
          <w:szCs w:val="32"/>
          <w:lang w:eastAsia="zh-CN"/>
        </w:rPr>
        <w:t>。</w:t>
      </w:r>
      <w:r>
        <w:rPr>
          <w:rFonts w:hint="eastAsia" w:ascii="仿宋_GB2312" w:eastAsia="仿宋_GB2312"/>
          <w:sz w:val="32"/>
          <w:szCs w:val="32"/>
          <w:lang w:val="en-US" w:eastAsia="zh-CN"/>
        </w:rPr>
        <w:t>制定</w:t>
      </w:r>
      <w:r>
        <w:rPr>
          <w:rFonts w:hint="eastAsia" w:ascii="仿宋_GB2312" w:eastAsia="仿宋_GB2312"/>
          <w:sz w:val="32"/>
          <w:szCs w:val="32"/>
          <w:lang w:eastAsia="zh-CN"/>
        </w:rPr>
        <w:t>《冠县</w:t>
      </w:r>
      <w:r>
        <w:rPr>
          <w:rFonts w:hint="eastAsia" w:ascii="仿宋_GB2312" w:eastAsia="仿宋_GB2312"/>
          <w:sz w:val="32"/>
          <w:szCs w:val="32"/>
          <w:lang w:val="en-US" w:eastAsia="zh-CN"/>
        </w:rPr>
        <w:t>自然资源和规划局2021年政务公开工作实施方案</w:t>
      </w:r>
      <w:r>
        <w:rPr>
          <w:rFonts w:hint="eastAsia" w:ascii="仿宋_GB2312" w:eastAsia="仿宋_GB2312"/>
          <w:sz w:val="32"/>
          <w:szCs w:val="32"/>
          <w:lang w:eastAsia="zh-CN"/>
        </w:rPr>
        <w:t>》，着力推进重点领域信息公开，加强信息发布、解读和回应工作，不断增强政府信息公开实效，进一步提高部门公信力</w:t>
      </w:r>
      <w:r>
        <w:rPr>
          <w:rFonts w:hint="eastAsia" w:ascii="仿宋_GB2312" w:hAnsi="仿宋_GB2312" w:eastAsia="仿宋_GB2312" w:cs="仿宋_GB2312"/>
          <w:b w:val="0"/>
          <w:bCs w:val="0"/>
          <w:color w:val="auto"/>
          <w:sz w:val="32"/>
          <w:szCs w:val="32"/>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lang w:eastAsia="zh-CN"/>
        </w:rPr>
        <w:drawing>
          <wp:inline distT="0" distB="0" distL="114300" distR="114300">
            <wp:extent cx="5264785" cy="3084830"/>
            <wp:effectExtent l="9525" t="9525" r="21590" b="10795"/>
            <wp:docPr id="2" name="图片 2" descr="截图_选择区域_2022011715474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2" descr="截图_选择区域_20220117154741"/>
                    <pic:cNvPicPr>
                      <a:picLocks noChangeAspect="true"/>
                    </pic:cNvPicPr>
                  </pic:nvPicPr>
                  <pic:blipFill>
                    <a:blip r:embed="rId5"/>
                    <a:stretch>
                      <a:fillRect/>
                    </a:stretch>
                  </pic:blipFill>
                  <pic:spPr>
                    <a:xfrm>
                      <a:off x="0" y="0"/>
                      <a:ext cx="5264785" cy="3084830"/>
                    </a:xfrm>
                    <a:prstGeom prst="rect">
                      <a:avLst/>
                    </a:prstGeom>
                    <a:ln>
                      <a:solidFill>
                        <a:schemeClr val="tx1"/>
                      </a:solidFill>
                    </a:ln>
                  </pic:spPr>
                </pic:pic>
              </a:graphicData>
            </a:graphic>
          </wp:inline>
        </w:drawing>
      </w:r>
    </w:p>
    <w:p>
      <w:pPr>
        <w:keepNext w:val="0"/>
        <w:keepLines w:val="0"/>
        <w:pageBreakBefore w:val="0"/>
        <w:kinsoku/>
        <w:wordWrap/>
        <w:overflowPunct/>
        <w:topLinePunct w:val="0"/>
        <w:autoSpaceDE/>
        <w:autoSpaceDN/>
        <w:bidi w:val="0"/>
        <w:adjustRightInd/>
        <w:snapToGrid/>
        <w:spacing w:line="600" w:lineRule="exact"/>
        <w:ind w:firstLine="642" w:firstLineChars="200"/>
        <w:textAlignment w:val="auto"/>
        <w:rPr>
          <w:rFonts w:hint="default" w:ascii="仿宋_GB2312" w:eastAsia="仿宋_GB2312"/>
          <w:b/>
          <w:bCs/>
          <w:color w:val="0000FF"/>
          <w:sz w:val="32"/>
          <w:szCs w:val="32"/>
          <w:lang w:val="en-US" w:eastAsia="zh-CN"/>
        </w:rPr>
      </w:pPr>
      <w:r>
        <w:rPr>
          <w:rFonts w:hint="eastAsia" w:ascii="仿宋_GB2312" w:eastAsia="仿宋_GB2312"/>
          <w:b/>
          <w:bCs/>
          <w:sz w:val="32"/>
          <w:szCs w:val="32"/>
          <w:lang w:eastAsia="zh-CN"/>
        </w:rPr>
        <w:t>二是</w:t>
      </w:r>
      <w:r>
        <w:rPr>
          <w:rFonts w:hint="eastAsia" w:ascii="仿宋_GB2312" w:eastAsia="仿宋_GB2312"/>
          <w:b/>
          <w:bCs/>
          <w:sz w:val="32"/>
          <w:szCs w:val="32"/>
        </w:rPr>
        <w:t>信息发布数量</w:t>
      </w:r>
      <w:r>
        <w:rPr>
          <w:rFonts w:hint="eastAsia" w:ascii="仿宋_GB2312" w:eastAsia="仿宋_GB2312"/>
          <w:b/>
          <w:bCs/>
          <w:sz w:val="32"/>
          <w:szCs w:val="32"/>
          <w:lang w:eastAsia="zh-CN"/>
        </w:rPr>
        <w:t>。</w:t>
      </w:r>
      <w:r>
        <w:rPr>
          <w:rFonts w:hint="eastAsia" w:ascii="仿宋_GB2312" w:eastAsia="仿宋_GB2312"/>
          <w:sz w:val="32"/>
          <w:szCs w:val="32"/>
        </w:rPr>
        <w:t>2021年</w:t>
      </w:r>
      <w:r>
        <w:rPr>
          <w:rFonts w:hint="eastAsia" w:ascii="仿宋_GB2312" w:eastAsia="仿宋_GB2312"/>
          <w:sz w:val="32"/>
          <w:szCs w:val="32"/>
          <w:lang w:eastAsia="zh-CN"/>
        </w:rPr>
        <w:t>共公开政府信息</w:t>
      </w:r>
      <w:r>
        <w:rPr>
          <w:rFonts w:hint="eastAsia" w:ascii="仿宋_GB2312" w:eastAsia="仿宋_GB2312"/>
          <w:sz w:val="32"/>
          <w:szCs w:val="32"/>
          <w:lang w:val="en-US" w:eastAsia="zh-CN"/>
        </w:rPr>
        <w:t>1691条，其中：1、</w:t>
      </w:r>
      <w:r>
        <w:rPr>
          <w:rFonts w:hint="eastAsia" w:ascii="仿宋_GB2312" w:eastAsia="仿宋_GB2312"/>
          <w:b w:val="0"/>
          <w:bCs w:val="0"/>
          <w:color w:val="auto"/>
          <w:sz w:val="32"/>
          <w:szCs w:val="32"/>
          <w:lang w:eastAsia="zh-CN"/>
        </w:rPr>
        <w:t>在政府网站</w:t>
      </w:r>
      <w:r>
        <w:rPr>
          <w:rFonts w:hint="eastAsia" w:ascii="仿宋_GB2312" w:eastAsia="仿宋_GB2312"/>
          <w:b w:val="0"/>
          <w:bCs w:val="0"/>
          <w:color w:val="auto"/>
          <w:sz w:val="32"/>
          <w:szCs w:val="32"/>
        </w:rPr>
        <w:t>公开政府信息</w:t>
      </w:r>
      <w:r>
        <w:rPr>
          <w:rFonts w:hint="eastAsia" w:ascii="仿宋_GB2312" w:eastAsia="仿宋_GB2312"/>
          <w:b w:val="0"/>
          <w:bCs w:val="0"/>
          <w:color w:val="auto"/>
          <w:sz w:val="32"/>
          <w:szCs w:val="32"/>
          <w:lang w:val="en-US" w:eastAsia="zh-CN"/>
        </w:rPr>
        <w:t>1569条，</w:t>
      </w:r>
      <w:r>
        <w:rPr>
          <w:rFonts w:hint="eastAsia" w:ascii="仿宋_GB2312" w:eastAsia="仿宋_GB2312"/>
          <w:sz w:val="32"/>
          <w:szCs w:val="32"/>
          <w:lang w:val="en-US" w:eastAsia="zh-CN"/>
        </w:rPr>
        <w:t>主要包括机构职能、规划计划、公共资源配置领域信息等方面信息，其中发布不动产首次登记公告信息1197条，占比76.3%，规划计划信息55条，占比3.5%，国有土地使用权出让信息41条，占比2.6%。2、“冠县自然资源和规划局”微信公众号发布信息122条，主要涉及自然资源资讯、相关政策法规等内容。</w:t>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drawing>
          <wp:inline distT="0" distB="0" distL="114300" distR="114300">
            <wp:extent cx="5271135" cy="2437765"/>
            <wp:effectExtent l="0" t="0" r="5715" b="635"/>
            <wp:docPr id="6" name="图片 6" descr="22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6" descr="222"/>
                    <pic:cNvPicPr>
                      <a:picLocks noChangeAspect="true"/>
                    </pic:cNvPicPr>
                  </pic:nvPicPr>
                  <pic:blipFill>
                    <a:blip r:embed="rId6"/>
                    <a:stretch>
                      <a:fillRect/>
                    </a:stretch>
                  </pic:blipFill>
                  <pic:spPr>
                    <a:xfrm>
                      <a:off x="0" y="0"/>
                      <a:ext cx="5271135" cy="2437765"/>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600" w:lineRule="exact"/>
        <w:ind w:firstLine="642" w:firstLineChars="200"/>
        <w:textAlignment w:val="auto"/>
        <w:rPr>
          <w:rFonts w:hint="eastAsia" w:ascii="仿宋_GB2312" w:eastAsia="仿宋_GB2312"/>
          <w:b w:val="0"/>
          <w:bCs w:val="0"/>
          <w:sz w:val="32"/>
          <w:szCs w:val="32"/>
          <w:lang w:val="en-US" w:eastAsia="zh-CN"/>
        </w:rPr>
      </w:pPr>
      <w:r>
        <w:rPr>
          <w:rFonts w:hint="eastAsia" w:ascii="仿宋_GB2312" w:eastAsia="仿宋_GB2312"/>
          <w:b/>
          <w:bCs/>
          <w:sz w:val="32"/>
          <w:szCs w:val="32"/>
          <w:lang w:eastAsia="zh-CN"/>
        </w:rPr>
        <w:t>三是</w:t>
      </w:r>
      <w:r>
        <w:rPr>
          <w:rFonts w:hint="eastAsia" w:ascii="仿宋_GB2312" w:eastAsia="仿宋_GB2312"/>
          <w:b/>
          <w:bCs/>
          <w:sz w:val="32"/>
          <w:szCs w:val="32"/>
        </w:rPr>
        <w:t>解读回应情况</w:t>
      </w:r>
      <w:r>
        <w:rPr>
          <w:rFonts w:hint="eastAsia" w:ascii="仿宋_GB2312" w:eastAsia="仿宋_GB2312"/>
          <w:b/>
          <w:bCs/>
          <w:sz w:val="32"/>
          <w:szCs w:val="32"/>
          <w:lang w:eastAsia="zh-CN"/>
        </w:rPr>
        <w:t>。</w:t>
      </w:r>
      <w:r>
        <w:rPr>
          <w:rFonts w:hint="eastAsia" w:ascii="仿宋_GB2312" w:eastAsia="仿宋_GB2312"/>
          <w:b w:val="0"/>
          <w:bCs w:val="0"/>
          <w:sz w:val="32"/>
          <w:szCs w:val="32"/>
          <w:lang w:eastAsia="zh-CN"/>
        </w:rPr>
        <w:t>严格落实政策性文件与解读方案、</w:t>
      </w:r>
      <w:r>
        <w:rPr>
          <w:rFonts w:hint="eastAsia" w:ascii="仿宋_GB2312" w:eastAsia="仿宋_GB2312"/>
          <w:b w:val="0"/>
          <w:bCs w:val="0"/>
          <w:sz w:val="32"/>
          <w:szCs w:val="32"/>
          <w:lang w:val="en-US" w:eastAsia="zh-CN"/>
        </w:rPr>
        <w:drawing>
          <wp:anchor distT="0" distB="0" distL="114300" distR="114300" simplePos="0" relativeHeight="251658240" behindDoc="0" locked="0" layoutInCell="1" allowOverlap="1">
            <wp:simplePos x="0" y="0"/>
            <wp:positionH relativeFrom="column">
              <wp:posOffset>-69850</wp:posOffset>
            </wp:positionH>
            <wp:positionV relativeFrom="page">
              <wp:posOffset>2548255</wp:posOffset>
            </wp:positionV>
            <wp:extent cx="4839335" cy="2962910"/>
            <wp:effectExtent l="0" t="0" r="18415" b="8890"/>
            <wp:wrapTopAndBottom/>
            <wp:docPr id="12" name="图片 12" descr="333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 name="图片 12" descr="3333"/>
                    <pic:cNvPicPr>
                      <a:picLocks noChangeAspect="true"/>
                    </pic:cNvPicPr>
                  </pic:nvPicPr>
                  <pic:blipFill>
                    <a:blip r:embed="rId7"/>
                    <a:stretch>
                      <a:fillRect/>
                    </a:stretch>
                  </pic:blipFill>
                  <pic:spPr>
                    <a:xfrm>
                      <a:off x="0" y="0"/>
                      <a:ext cx="4839335" cy="2962910"/>
                    </a:xfrm>
                    <a:prstGeom prst="rect">
                      <a:avLst/>
                    </a:prstGeom>
                  </pic:spPr>
                </pic:pic>
              </a:graphicData>
            </a:graphic>
          </wp:anchor>
        </w:drawing>
      </w:r>
      <w:r>
        <w:rPr>
          <w:rFonts w:hint="eastAsia" w:ascii="仿宋_GB2312" w:eastAsia="仿宋_GB2312"/>
          <w:b w:val="0"/>
          <w:bCs w:val="0"/>
          <w:sz w:val="32"/>
          <w:szCs w:val="32"/>
          <w:lang w:eastAsia="zh-CN"/>
        </w:rPr>
        <w:t>解读材料同步组织、同步审签、同步部署制度，通过冠县人民政府网站</w:t>
      </w:r>
      <w:r>
        <w:rPr>
          <w:rFonts w:hint="eastAsia" w:ascii="仿宋_GB2312" w:eastAsia="仿宋_GB2312"/>
          <w:b w:val="0"/>
          <w:bCs w:val="0"/>
          <w:sz w:val="32"/>
          <w:szCs w:val="32"/>
          <w:lang w:val="en-US" w:eastAsia="zh-CN"/>
        </w:rPr>
        <w:t>平台</w:t>
      </w:r>
      <w:r>
        <w:rPr>
          <w:rFonts w:hint="eastAsia" w:ascii="仿宋_GB2312" w:eastAsia="仿宋_GB2312"/>
          <w:b w:val="0"/>
          <w:bCs w:val="0"/>
          <w:sz w:val="32"/>
          <w:szCs w:val="32"/>
          <w:lang w:eastAsia="zh-CN"/>
        </w:rPr>
        <w:t>发布政策解读共</w:t>
      </w:r>
      <w:r>
        <w:rPr>
          <w:rFonts w:hint="eastAsia" w:ascii="仿宋_GB2312" w:eastAsia="仿宋_GB2312"/>
          <w:b w:val="0"/>
          <w:bCs w:val="0"/>
          <w:sz w:val="32"/>
          <w:szCs w:val="32"/>
          <w:lang w:val="en-US" w:eastAsia="zh-CN"/>
        </w:rPr>
        <w:t>36篇，从部门、专家和媒体等角度对政策文件进行解读，确保公开的政策群众看得懂、用得上。</w:t>
      </w:r>
    </w:p>
    <w:p>
      <w:pPr>
        <w:pStyle w:val="5"/>
        <w:keepNext w:val="0"/>
        <w:keepLines w:val="0"/>
        <w:widowControl/>
        <w:suppressLineNumbers w:val="0"/>
        <w:rPr>
          <w:rFonts w:hint="eastAsia" w:ascii="仿宋_GB2312" w:hAnsi="仿宋_GB2312" w:eastAsia="仿宋_GB2312" w:cs="仿宋_GB2312"/>
          <w:b/>
          <w:bCs/>
          <w:color w:val="0000FF"/>
          <w:sz w:val="32"/>
          <w:szCs w:val="32"/>
          <w:lang w:eastAsia="zh-CN"/>
        </w:rPr>
      </w:pPr>
      <w:r>
        <w:drawing>
          <wp:inline distT="0" distB="0" distL="114300" distR="114300">
            <wp:extent cx="3227705" cy="5496560"/>
            <wp:effectExtent l="0" t="0" r="10795" b="8890"/>
            <wp:docPr id="4"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true"/>
                    </pic:cNvPicPr>
                  </pic:nvPicPr>
                  <pic:blipFill>
                    <a:blip r:embed="rId8"/>
                    <a:stretch>
                      <a:fillRect/>
                    </a:stretch>
                  </pic:blipFill>
                  <pic:spPr>
                    <a:xfrm>
                      <a:off x="0" y="0"/>
                      <a:ext cx="3227705" cy="5496560"/>
                    </a:xfrm>
                    <a:prstGeom prst="rect">
                      <a:avLst/>
                    </a:prstGeom>
                    <a:noFill/>
                    <a:ln>
                      <a:noFill/>
                    </a:ln>
                  </pic:spPr>
                </pic:pic>
              </a:graphicData>
            </a:graphic>
          </wp:inline>
        </w:drawing>
      </w:r>
    </w:p>
    <w:p>
      <w:pPr>
        <w:pStyle w:val="5"/>
        <w:keepNext w:val="0"/>
        <w:keepLines w:val="0"/>
        <w:widowControl/>
        <w:suppressLineNumbers w:val="0"/>
        <w:rPr>
          <w:rFonts w:hint="eastAsia" w:ascii="仿宋_GB2312" w:hAnsi="仿宋_GB2312" w:eastAsia="仿宋_GB2312" w:cs="仿宋_GB2312"/>
          <w:b/>
          <w:bCs/>
          <w:color w:val="0000FF"/>
          <w:sz w:val="32"/>
          <w:szCs w:val="32"/>
          <w:lang w:eastAsia="zh-CN"/>
        </w:rPr>
      </w:pPr>
      <w:r>
        <w:rPr>
          <w:rFonts w:hint="eastAsia" w:ascii="仿宋_GB2312" w:hAnsi="仿宋_GB2312" w:eastAsia="仿宋_GB2312" w:cs="仿宋_GB2312"/>
          <w:b/>
          <w:bCs/>
          <w:color w:val="0000FF"/>
          <w:sz w:val="32"/>
          <w:szCs w:val="32"/>
          <w:lang w:eastAsia="zh-CN"/>
        </w:rPr>
        <w:drawing>
          <wp:inline distT="0" distB="0" distL="114300" distR="114300">
            <wp:extent cx="5273675" cy="3082925"/>
            <wp:effectExtent l="0" t="0" r="3175" b="3175"/>
            <wp:docPr id="9" name="图片 9" descr="截图_选择区域_2022011715525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 name="图片 9" descr="截图_选择区域_20220117155257"/>
                    <pic:cNvPicPr>
                      <a:picLocks noChangeAspect="true"/>
                    </pic:cNvPicPr>
                  </pic:nvPicPr>
                  <pic:blipFill>
                    <a:blip r:embed="rId9"/>
                    <a:stretch>
                      <a:fillRect/>
                    </a:stretch>
                  </pic:blipFill>
                  <pic:spPr>
                    <a:xfrm>
                      <a:off x="0" y="0"/>
                      <a:ext cx="5273675" cy="3082925"/>
                    </a:xfrm>
                    <a:prstGeom prst="rect">
                      <a:avLst/>
                    </a:prstGeom>
                  </pic:spPr>
                </pic:pic>
              </a:graphicData>
            </a:graphic>
          </wp:inline>
        </w:drawing>
      </w:r>
    </w:p>
    <w:p>
      <w:pPr>
        <w:keepNext w:val="0"/>
        <w:keepLines w:val="0"/>
        <w:pageBreakBefore w:val="0"/>
        <w:numPr>
          <w:ilvl w:val="0"/>
          <w:numId w:val="1"/>
        </w:numPr>
        <w:kinsoku/>
        <w:wordWrap/>
        <w:overflowPunct/>
        <w:topLinePunct w:val="0"/>
        <w:autoSpaceDE/>
        <w:autoSpaceDN/>
        <w:bidi w:val="0"/>
        <w:adjustRightInd/>
        <w:snapToGrid/>
        <w:spacing w:line="600" w:lineRule="exact"/>
        <w:ind w:firstLine="640" w:firstLineChars="200"/>
        <w:textAlignment w:val="auto"/>
        <w:rPr>
          <w:rFonts w:hint="eastAsia" w:ascii="CESI楷体-GB2312" w:hAnsi="CESI楷体-GB2312" w:eastAsia="CESI楷体-GB2312" w:cs="CESI楷体-GB2312"/>
          <w:b/>
          <w:bCs/>
          <w:sz w:val="32"/>
          <w:szCs w:val="32"/>
        </w:rPr>
      </w:pPr>
      <w:r>
        <w:rPr>
          <w:rFonts w:hint="eastAsia" w:ascii="CESI楷体-GB2312" w:hAnsi="CESI楷体-GB2312" w:eastAsia="CESI楷体-GB2312" w:cs="CESI楷体-GB2312"/>
          <w:b/>
          <w:bCs/>
          <w:sz w:val="32"/>
          <w:szCs w:val="32"/>
        </w:rPr>
        <w:t>依申请公开</w:t>
      </w:r>
    </w:p>
    <w:p>
      <w:pPr>
        <w:keepNext w:val="0"/>
        <w:keepLines w:val="0"/>
        <w:pageBreakBefore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宋体" w:eastAsia="仿宋_GB2312" w:cs="仿宋_GB2312"/>
          <w:b w:val="0"/>
          <w:bCs w:val="0"/>
          <w:i w:val="0"/>
          <w:caps w:val="0"/>
          <w:color w:val="auto"/>
          <w:spacing w:val="0"/>
          <w:kern w:val="0"/>
          <w:sz w:val="31"/>
          <w:szCs w:val="31"/>
          <w:u w:val="none"/>
          <w:shd w:val="clear" w:color="auto" w:fill="FFFFFF"/>
          <w:lang w:val="en-US" w:eastAsia="zh-CN" w:bidi="ar"/>
        </w:rPr>
      </w:pPr>
      <w:r>
        <w:rPr>
          <w:rFonts w:hint="eastAsia" w:ascii="仿宋_GB2312" w:eastAsia="仿宋_GB2312"/>
          <w:color w:val="auto"/>
          <w:sz w:val="32"/>
          <w:szCs w:val="32"/>
          <w:lang w:val="en-US" w:eastAsia="zh-CN"/>
        </w:rPr>
        <w:t>2021年，共收到政府信息公开申请13件，同比增长85.7%。</w:t>
      </w:r>
      <w:r>
        <w:rPr>
          <w:rFonts w:hint="eastAsia" w:ascii="仿宋_GB2312" w:eastAsia="仿宋_GB2312"/>
          <w:color w:val="auto"/>
          <w:sz w:val="32"/>
          <w:szCs w:val="32"/>
        </w:rPr>
        <w:t>政府信息公开申请内容主要涉及</w:t>
      </w:r>
      <w:r>
        <w:rPr>
          <w:rFonts w:hint="eastAsia" w:ascii="仿宋_GB2312" w:eastAsia="仿宋_GB2312"/>
          <w:color w:val="auto"/>
          <w:sz w:val="32"/>
          <w:szCs w:val="32"/>
          <w:lang w:eastAsia="zh-CN"/>
        </w:rPr>
        <w:t>土地利用、</w:t>
      </w:r>
      <w:r>
        <w:rPr>
          <w:rFonts w:hint="default" w:ascii="仿宋_GB2312" w:eastAsia="仿宋_GB2312"/>
          <w:color w:val="auto"/>
          <w:sz w:val="32"/>
          <w:szCs w:val="32"/>
          <w:lang w:val="en-US" w:eastAsia="zh-CN"/>
        </w:rPr>
        <w:t>土地征收等方面。</w:t>
      </w:r>
      <w:r>
        <w:rPr>
          <w:rFonts w:hint="eastAsia" w:ascii="Times New Roman" w:hAnsi="Times New Roman" w:eastAsia="仿宋_GB2312" w:cs="仿宋_GB2312"/>
          <w:color w:val="auto"/>
          <w:sz w:val="32"/>
          <w:szCs w:val="32"/>
        </w:rPr>
        <w:t>本年度答复政府信息公开申请</w:t>
      </w:r>
      <w:r>
        <w:rPr>
          <w:rFonts w:hint="eastAsia" w:ascii="仿宋_GB2312" w:eastAsia="仿宋_GB2312"/>
          <w:color w:val="auto"/>
          <w:sz w:val="32"/>
          <w:szCs w:val="32"/>
          <w:lang w:val="en-US" w:eastAsia="zh-CN"/>
        </w:rPr>
        <w:t>13</w:t>
      </w:r>
      <w:r>
        <w:rPr>
          <w:rFonts w:hint="eastAsia" w:ascii="Times New Roman" w:hAnsi="Times New Roman" w:eastAsia="仿宋_GB2312" w:cs="仿宋_GB2312"/>
          <w:color w:val="auto"/>
          <w:sz w:val="32"/>
          <w:szCs w:val="32"/>
        </w:rPr>
        <w:t>件。在答复的申请中：</w:t>
      </w:r>
      <w:r>
        <w:rPr>
          <w:rFonts w:hint="default" w:ascii="仿宋_GB2312" w:hAnsi="宋体" w:eastAsia="仿宋_GB2312" w:cs="仿宋_GB2312"/>
          <w:i w:val="0"/>
          <w:caps w:val="0"/>
          <w:color w:val="auto"/>
          <w:spacing w:val="0"/>
          <w:kern w:val="0"/>
          <w:sz w:val="31"/>
          <w:szCs w:val="31"/>
          <w:u w:val="none"/>
          <w:shd w:val="clear" w:color="auto" w:fill="FFFFFF"/>
          <w:lang w:val="en-US" w:eastAsia="zh-CN" w:bidi="ar"/>
        </w:rPr>
        <w:t>予以公</w:t>
      </w:r>
      <w:r>
        <w:rPr>
          <w:rFonts w:hint="default" w:ascii="仿宋_GB2312" w:hAnsi="宋体" w:eastAsia="仿宋_GB2312" w:cs="仿宋_GB2312"/>
          <w:b w:val="0"/>
          <w:bCs w:val="0"/>
          <w:i w:val="0"/>
          <w:caps w:val="0"/>
          <w:color w:val="auto"/>
          <w:spacing w:val="0"/>
          <w:kern w:val="0"/>
          <w:sz w:val="31"/>
          <w:szCs w:val="31"/>
          <w:u w:val="none"/>
          <w:shd w:val="clear" w:color="auto" w:fill="FFFFFF"/>
          <w:lang w:val="en-US" w:eastAsia="zh-CN" w:bidi="ar"/>
        </w:rPr>
        <w:t>开</w:t>
      </w:r>
      <w:r>
        <w:rPr>
          <w:rFonts w:hint="eastAsia" w:ascii="仿宋_GB2312" w:hAnsi="宋体" w:eastAsia="仿宋_GB2312" w:cs="仿宋_GB2312"/>
          <w:b w:val="0"/>
          <w:bCs w:val="0"/>
          <w:i w:val="0"/>
          <w:caps w:val="0"/>
          <w:color w:val="auto"/>
          <w:spacing w:val="0"/>
          <w:kern w:val="0"/>
          <w:sz w:val="31"/>
          <w:szCs w:val="31"/>
          <w:u w:val="none"/>
          <w:shd w:val="clear" w:color="auto" w:fill="FFFFFF"/>
          <w:lang w:val="en-US" w:eastAsia="zh-CN" w:bidi="ar"/>
        </w:rPr>
        <w:t>3</w:t>
      </w:r>
      <w:r>
        <w:rPr>
          <w:rFonts w:hint="default" w:ascii="仿宋_GB2312" w:hAnsi="宋体" w:eastAsia="仿宋_GB2312" w:cs="仿宋_GB2312"/>
          <w:b w:val="0"/>
          <w:bCs w:val="0"/>
          <w:i w:val="0"/>
          <w:caps w:val="0"/>
          <w:color w:val="auto"/>
          <w:spacing w:val="0"/>
          <w:kern w:val="0"/>
          <w:sz w:val="31"/>
          <w:szCs w:val="31"/>
          <w:u w:val="none"/>
          <w:shd w:val="clear" w:color="auto" w:fill="FFFFFF"/>
          <w:lang w:val="en-US" w:eastAsia="zh-CN" w:bidi="ar"/>
        </w:rPr>
        <w:t>件</w:t>
      </w:r>
      <w:r>
        <w:rPr>
          <w:rFonts w:hint="eastAsia" w:ascii="仿宋_GB2312" w:hAnsi="宋体" w:eastAsia="仿宋_GB2312" w:cs="仿宋_GB2312"/>
          <w:b w:val="0"/>
          <w:bCs w:val="0"/>
          <w:i w:val="0"/>
          <w:caps w:val="0"/>
          <w:color w:val="auto"/>
          <w:spacing w:val="0"/>
          <w:kern w:val="0"/>
          <w:sz w:val="31"/>
          <w:szCs w:val="31"/>
          <w:u w:val="none"/>
          <w:shd w:val="clear" w:color="auto" w:fill="FFFFFF"/>
          <w:lang w:val="en-US" w:eastAsia="zh-CN" w:bidi="ar"/>
        </w:rPr>
        <w:t>、</w:t>
      </w:r>
      <w:r>
        <w:rPr>
          <w:rFonts w:hint="default" w:ascii="仿宋_GB2312" w:hAnsi="宋体" w:eastAsia="仿宋_GB2312" w:cs="仿宋_GB2312"/>
          <w:b w:val="0"/>
          <w:bCs w:val="0"/>
          <w:i w:val="0"/>
          <w:caps w:val="0"/>
          <w:color w:val="auto"/>
          <w:spacing w:val="0"/>
          <w:kern w:val="0"/>
          <w:sz w:val="31"/>
          <w:szCs w:val="31"/>
          <w:u w:val="none"/>
          <w:shd w:val="clear" w:color="auto" w:fill="FFFFFF"/>
          <w:lang w:val="en-US" w:eastAsia="zh-CN" w:bidi="ar"/>
        </w:rPr>
        <w:t>部分公开</w:t>
      </w:r>
      <w:r>
        <w:rPr>
          <w:rFonts w:hint="eastAsia" w:ascii="仿宋_GB2312" w:hAnsi="宋体" w:eastAsia="仿宋_GB2312" w:cs="仿宋_GB2312"/>
          <w:b w:val="0"/>
          <w:bCs w:val="0"/>
          <w:i w:val="0"/>
          <w:caps w:val="0"/>
          <w:color w:val="auto"/>
          <w:spacing w:val="0"/>
          <w:kern w:val="0"/>
          <w:sz w:val="31"/>
          <w:szCs w:val="31"/>
          <w:u w:val="none"/>
          <w:shd w:val="clear" w:color="auto" w:fill="FFFFFF"/>
          <w:lang w:val="en-US" w:eastAsia="zh-CN" w:bidi="ar"/>
        </w:rPr>
        <w:t>4</w:t>
      </w:r>
      <w:r>
        <w:rPr>
          <w:rFonts w:hint="default" w:ascii="仿宋_GB2312" w:hAnsi="宋体" w:eastAsia="仿宋_GB2312" w:cs="仿宋_GB2312"/>
          <w:b w:val="0"/>
          <w:bCs w:val="0"/>
          <w:i w:val="0"/>
          <w:caps w:val="0"/>
          <w:color w:val="auto"/>
          <w:spacing w:val="0"/>
          <w:kern w:val="0"/>
          <w:sz w:val="31"/>
          <w:szCs w:val="31"/>
          <w:u w:val="none"/>
          <w:shd w:val="clear" w:color="auto" w:fill="FFFFFF"/>
          <w:lang w:val="en-US" w:eastAsia="zh-CN" w:bidi="ar"/>
        </w:rPr>
        <w:t>件</w:t>
      </w:r>
      <w:r>
        <w:rPr>
          <w:rFonts w:hint="eastAsia" w:ascii="仿宋_GB2312" w:hAnsi="宋体" w:eastAsia="仿宋_GB2312" w:cs="仿宋_GB2312"/>
          <w:b w:val="0"/>
          <w:bCs w:val="0"/>
          <w:i w:val="0"/>
          <w:caps w:val="0"/>
          <w:color w:val="auto"/>
          <w:spacing w:val="0"/>
          <w:kern w:val="0"/>
          <w:sz w:val="31"/>
          <w:szCs w:val="31"/>
          <w:u w:val="none"/>
          <w:shd w:val="clear" w:color="auto" w:fill="FFFFFF"/>
          <w:lang w:val="en-US" w:eastAsia="zh-CN" w:bidi="ar"/>
        </w:rPr>
        <w:t>、</w:t>
      </w:r>
      <w:r>
        <w:rPr>
          <w:rFonts w:hint="default" w:ascii="仿宋_GB2312" w:hAnsi="宋体" w:eastAsia="仿宋_GB2312" w:cs="仿宋_GB2312"/>
          <w:b w:val="0"/>
          <w:bCs w:val="0"/>
          <w:i w:val="0"/>
          <w:caps w:val="0"/>
          <w:color w:val="auto"/>
          <w:spacing w:val="0"/>
          <w:kern w:val="0"/>
          <w:sz w:val="31"/>
          <w:szCs w:val="31"/>
          <w:u w:val="none"/>
          <w:shd w:val="clear" w:color="auto" w:fill="FFFFFF"/>
          <w:lang w:val="en-US" w:eastAsia="zh-CN" w:bidi="ar"/>
        </w:rPr>
        <w:t>无法提供</w:t>
      </w:r>
      <w:r>
        <w:rPr>
          <w:rFonts w:hint="eastAsia" w:ascii="仿宋_GB2312" w:hAnsi="宋体" w:eastAsia="仿宋_GB2312" w:cs="仿宋_GB2312"/>
          <w:b w:val="0"/>
          <w:bCs w:val="0"/>
          <w:i w:val="0"/>
          <w:caps w:val="0"/>
          <w:color w:val="auto"/>
          <w:spacing w:val="0"/>
          <w:kern w:val="0"/>
          <w:sz w:val="31"/>
          <w:szCs w:val="31"/>
          <w:u w:val="none"/>
          <w:shd w:val="clear" w:color="auto" w:fill="FFFFFF"/>
          <w:lang w:val="en-US" w:eastAsia="zh-CN" w:bidi="ar"/>
        </w:rPr>
        <w:t>6</w:t>
      </w:r>
      <w:r>
        <w:rPr>
          <w:rFonts w:hint="default" w:ascii="仿宋_GB2312" w:hAnsi="宋体" w:eastAsia="仿宋_GB2312" w:cs="仿宋_GB2312"/>
          <w:b w:val="0"/>
          <w:bCs w:val="0"/>
          <w:i w:val="0"/>
          <w:caps w:val="0"/>
          <w:color w:val="auto"/>
          <w:spacing w:val="0"/>
          <w:kern w:val="0"/>
          <w:sz w:val="31"/>
          <w:szCs w:val="31"/>
          <w:u w:val="none"/>
          <w:shd w:val="clear" w:color="auto" w:fill="FFFFFF"/>
          <w:lang w:val="en-US" w:eastAsia="zh-CN" w:bidi="ar"/>
        </w:rPr>
        <w:t>件，所占比重分别为</w:t>
      </w:r>
      <w:r>
        <w:rPr>
          <w:rFonts w:hint="eastAsia" w:ascii="仿宋_GB2312" w:hAnsi="宋体" w:eastAsia="仿宋_GB2312" w:cs="仿宋_GB2312"/>
          <w:b w:val="0"/>
          <w:bCs w:val="0"/>
          <w:i w:val="0"/>
          <w:caps w:val="0"/>
          <w:color w:val="auto"/>
          <w:spacing w:val="0"/>
          <w:kern w:val="0"/>
          <w:sz w:val="31"/>
          <w:szCs w:val="31"/>
          <w:u w:val="none"/>
          <w:shd w:val="clear" w:color="auto" w:fill="FFFFFF"/>
          <w:lang w:val="en-US" w:eastAsia="zh-CN" w:bidi="ar"/>
        </w:rPr>
        <w:t>23.1</w:t>
      </w:r>
      <w:r>
        <w:rPr>
          <w:rFonts w:hint="default" w:ascii="仿宋_GB2312" w:hAnsi="宋体" w:eastAsia="仿宋_GB2312" w:cs="仿宋_GB2312"/>
          <w:b w:val="0"/>
          <w:bCs w:val="0"/>
          <w:i w:val="0"/>
          <w:caps w:val="0"/>
          <w:color w:val="auto"/>
          <w:spacing w:val="0"/>
          <w:kern w:val="0"/>
          <w:sz w:val="31"/>
          <w:szCs w:val="31"/>
          <w:u w:val="none"/>
          <w:shd w:val="clear" w:color="auto" w:fill="FFFFFF"/>
          <w:lang w:val="en-US" w:eastAsia="zh-CN" w:bidi="ar"/>
        </w:rPr>
        <w:t>%、</w:t>
      </w:r>
      <w:r>
        <w:rPr>
          <w:rFonts w:hint="eastAsia" w:ascii="仿宋_GB2312" w:hAnsi="宋体" w:eastAsia="仿宋_GB2312" w:cs="仿宋_GB2312"/>
          <w:b w:val="0"/>
          <w:bCs w:val="0"/>
          <w:i w:val="0"/>
          <w:caps w:val="0"/>
          <w:color w:val="auto"/>
          <w:spacing w:val="0"/>
          <w:kern w:val="0"/>
          <w:sz w:val="31"/>
          <w:szCs w:val="31"/>
          <w:u w:val="none"/>
          <w:shd w:val="clear" w:color="auto" w:fill="FFFFFF"/>
          <w:lang w:val="en-US" w:eastAsia="zh-CN" w:bidi="ar"/>
        </w:rPr>
        <w:t>30.7</w:t>
      </w:r>
      <w:r>
        <w:rPr>
          <w:rFonts w:hint="default" w:ascii="仿宋_GB2312" w:hAnsi="宋体" w:eastAsia="仿宋_GB2312" w:cs="仿宋_GB2312"/>
          <w:b w:val="0"/>
          <w:bCs w:val="0"/>
          <w:i w:val="0"/>
          <w:caps w:val="0"/>
          <w:color w:val="auto"/>
          <w:spacing w:val="0"/>
          <w:kern w:val="0"/>
          <w:sz w:val="31"/>
          <w:szCs w:val="31"/>
          <w:u w:val="none"/>
          <w:shd w:val="clear" w:color="auto" w:fill="FFFFFF"/>
          <w:lang w:val="en-US" w:eastAsia="zh-CN" w:bidi="ar"/>
        </w:rPr>
        <w:t>%、</w:t>
      </w:r>
      <w:r>
        <w:rPr>
          <w:rFonts w:hint="eastAsia" w:ascii="仿宋_GB2312" w:hAnsi="宋体" w:eastAsia="仿宋_GB2312" w:cs="仿宋_GB2312"/>
          <w:b w:val="0"/>
          <w:bCs w:val="0"/>
          <w:i w:val="0"/>
          <w:caps w:val="0"/>
          <w:color w:val="auto"/>
          <w:spacing w:val="0"/>
          <w:kern w:val="0"/>
          <w:sz w:val="31"/>
          <w:szCs w:val="31"/>
          <w:u w:val="none"/>
          <w:shd w:val="clear" w:color="auto" w:fill="FFFFFF"/>
          <w:lang w:val="en-US" w:eastAsia="zh-CN" w:bidi="ar"/>
        </w:rPr>
        <w:t>46.2</w:t>
      </w:r>
      <w:r>
        <w:rPr>
          <w:rFonts w:hint="default" w:ascii="仿宋_GB2312" w:hAnsi="宋体" w:eastAsia="仿宋_GB2312" w:cs="仿宋_GB2312"/>
          <w:b w:val="0"/>
          <w:bCs w:val="0"/>
          <w:i w:val="0"/>
          <w:caps w:val="0"/>
          <w:color w:val="auto"/>
          <w:spacing w:val="0"/>
          <w:kern w:val="0"/>
          <w:sz w:val="31"/>
          <w:szCs w:val="31"/>
          <w:u w:val="none"/>
          <w:shd w:val="clear" w:color="auto" w:fill="FFFFFF"/>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ascii="仿宋_GB2312" w:hAnsi="宋体" w:eastAsia="仿宋_GB2312" w:cs="仿宋_GB2312"/>
          <w:b/>
          <w:bCs/>
          <w:i w:val="0"/>
          <w:caps w:val="0"/>
          <w:color w:val="auto"/>
          <w:spacing w:val="0"/>
          <w:kern w:val="0"/>
          <w:sz w:val="31"/>
          <w:szCs w:val="31"/>
          <w:shd w:val="clear" w:color="auto" w:fill="FFFFFF"/>
          <w:lang w:val="en-US" w:eastAsia="zh-CN" w:bidi="ar"/>
        </w:rPr>
      </w:pPr>
      <w:r>
        <w:rPr>
          <w:rFonts w:ascii="仿宋_GB2312" w:hAnsi="宋体" w:eastAsia="仿宋_GB2312" w:cs="仿宋_GB2312"/>
          <w:b/>
          <w:bCs/>
          <w:i w:val="0"/>
          <w:caps w:val="0"/>
          <w:color w:val="auto"/>
          <w:spacing w:val="0"/>
          <w:kern w:val="0"/>
          <w:sz w:val="31"/>
          <w:szCs w:val="31"/>
          <w:shd w:val="clear" w:color="auto" w:fill="FFFFFF"/>
          <w:lang w:val="en-US" w:eastAsia="zh-CN" w:bidi="ar"/>
        </w:rPr>
        <w:drawing>
          <wp:inline distT="0" distB="0" distL="114300" distR="114300">
            <wp:extent cx="5269230" cy="2724785"/>
            <wp:effectExtent l="0" t="0" r="7620" b="18415"/>
            <wp:docPr id="3" name="图片 3" descr="自然资源和规划局2021年政府信息公开申请情况"/>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3" descr="自然资源和规划局2021年政府信息公开申请情况"/>
                    <pic:cNvPicPr>
                      <a:picLocks noChangeAspect="true"/>
                    </pic:cNvPicPr>
                  </pic:nvPicPr>
                  <pic:blipFill>
                    <a:blip r:embed="rId10"/>
                    <a:stretch>
                      <a:fillRect/>
                    </a:stretch>
                  </pic:blipFill>
                  <pic:spPr>
                    <a:xfrm>
                      <a:off x="0" y="0"/>
                      <a:ext cx="5269230" cy="272478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22" w:firstLineChars="200"/>
        <w:jc w:val="both"/>
        <w:textAlignment w:val="auto"/>
        <w:rPr>
          <w:rFonts w:hint="eastAsia" w:ascii="CESI楷体-GB2312" w:hAnsi="CESI楷体-GB2312" w:eastAsia="CESI楷体-GB2312" w:cs="CESI楷体-GB2312"/>
          <w:b/>
          <w:bCs/>
          <w:color w:val="auto"/>
          <w:sz w:val="32"/>
          <w:szCs w:val="32"/>
        </w:rPr>
      </w:pPr>
      <w:r>
        <w:rPr>
          <w:rFonts w:ascii="仿宋_GB2312" w:hAnsi="宋体" w:eastAsia="仿宋_GB2312" w:cs="仿宋_GB2312"/>
          <w:b/>
          <w:bCs/>
          <w:i w:val="0"/>
          <w:caps w:val="0"/>
          <w:color w:val="auto"/>
          <w:spacing w:val="0"/>
          <w:kern w:val="0"/>
          <w:sz w:val="31"/>
          <w:szCs w:val="31"/>
          <w:shd w:val="clear" w:color="auto" w:fill="FFFFFF"/>
          <w:lang w:val="en-US" w:eastAsia="zh-CN" w:bidi="ar"/>
        </w:rPr>
        <w:t>收费和减免情况：</w:t>
      </w:r>
      <w:r>
        <w:rPr>
          <w:rFonts w:ascii="仿宋_GB2312" w:hAnsi="宋体" w:eastAsia="仿宋_GB2312" w:cs="仿宋_GB2312"/>
          <w:i w:val="0"/>
          <w:caps w:val="0"/>
          <w:color w:val="auto"/>
          <w:spacing w:val="0"/>
          <w:kern w:val="0"/>
          <w:sz w:val="31"/>
          <w:szCs w:val="31"/>
          <w:shd w:val="clear" w:color="auto" w:fill="FFFFFF"/>
          <w:lang w:val="en-US" w:eastAsia="zh-CN" w:bidi="ar"/>
        </w:rPr>
        <w:t>本年度依申请公开政府信息未收取任何费用。</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CESI楷体-GB2312" w:hAnsi="CESI楷体-GB2312" w:eastAsia="CESI楷体-GB2312" w:cs="CESI楷体-GB2312"/>
          <w:b/>
          <w:bCs/>
          <w:sz w:val="32"/>
          <w:szCs w:val="32"/>
        </w:rPr>
      </w:pPr>
      <w:r>
        <w:rPr>
          <w:rFonts w:hint="eastAsia" w:ascii="CESI楷体-GB2312" w:hAnsi="CESI楷体-GB2312" w:eastAsia="CESI楷体-GB2312" w:cs="CESI楷体-GB2312"/>
          <w:b/>
          <w:bCs/>
          <w:sz w:val="32"/>
          <w:szCs w:val="32"/>
          <w:lang w:eastAsia="zh-CN"/>
        </w:rPr>
        <w:t>（三）</w:t>
      </w:r>
      <w:r>
        <w:rPr>
          <w:rFonts w:hint="eastAsia" w:ascii="CESI楷体-GB2312" w:hAnsi="CESI楷体-GB2312" w:eastAsia="CESI楷体-GB2312" w:cs="CESI楷体-GB2312"/>
          <w:b/>
          <w:bCs/>
          <w:sz w:val="32"/>
          <w:szCs w:val="32"/>
        </w:rPr>
        <w:t>政府信息管理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2" w:firstLineChars="200"/>
        <w:jc w:val="both"/>
        <w:textAlignment w:val="auto"/>
        <w:rPr>
          <w:rFonts w:hint="eastAsia" w:ascii="CESI楷体-GB2312" w:hAnsi="CESI楷体-GB2312" w:eastAsia="CESI楷体-GB2312" w:cs="CESI楷体-GB2312"/>
          <w:b/>
          <w:bCs/>
          <w:sz w:val="32"/>
          <w:szCs w:val="32"/>
        </w:rPr>
      </w:pPr>
      <w:r>
        <w:rPr>
          <w:rFonts w:hint="eastAsia" w:ascii="仿宋_GB2312" w:eastAsia="仿宋_GB2312" w:cs="Times New Roman"/>
          <w:b/>
          <w:bCs/>
          <w:kern w:val="0"/>
          <w:sz w:val="32"/>
          <w:szCs w:val="32"/>
          <w:lang w:val="en-US" w:eastAsia="zh-CN" w:bidi="ar"/>
        </w:rPr>
        <w:t>一是</w:t>
      </w:r>
      <w:r>
        <w:rPr>
          <w:rFonts w:hint="eastAsia" w:ascii="仿宋_GB2312" w:hAnsi="Calibri" w:eastAsia="仿宋_GB2312" w:cs="Times New Roman"/>
          <w:kern w:val="0"/>
          <w:sz w:val="32"/>
          <w:szCs w:val="32"/>
          <w:lang w:val="en-US" w:eastAsia="zh-CN" w:bidi="ar"/>
        </w:rPr>
        <w:t>建立健全政府信息管理动态调整机制。对本部门不予公开的政府信息进行定期评估审查，做到经常性内容定期公开，阶段性内容逐段公开，动态性内容及时公开，临时性内容随时公开，并做到重大决策全</w:t>
      </w:r>
      <w:r>
        <w:rPr>
          <w:rFonts w:hint="eastAsia" w:ascii="仿宋_GB2312" w:eastAsia="仿宋_GB2312" w:cs="Times New Roman"/>
          <w:kern w:val="0"/>
          <w:sz w:val="32"/>
          <w:szCs w:val="32"/>
          <w:lang w:val="en-US" w:eastAsia="zh-CN" w:bidi="ar"/>
        </w:rPr>
        <w:t>过程</w:t>
      </w:r>
      <w:r>
        <w:rPr>
          <w:rFonts w:hint="eastAsia" w:ascii="仿宋_GB2312" w:hAnsi="Calibri" w:eastAsia="仿宋_GB2312" w:cs="Times New Roman"/>
          <w:kern w:val="0"/>
          <w:sz w:val="32"/>
          <w:szCs w:val="32"/>
          <w:lang w:val="en-US" w:eastAsia="zh-CN" w:bidi="ar"/>
        </w:rPr>
        <w:t>公开</w:t>
      </w:r>
      <w:r>
        <w:rPr>
          <w:rFonts w:hint="eastAsia" w:ascii="仿宋_GB2312" w:eastAsia="仿宋_GB2312" w:cs="Times New Roman"/>
          <w:kern w:val="0"/>
          <w:sz w:val="32"/>
          <w:szCs w:val="32"/>
          <w:lang w:val="en-US" w:eastAsia="zh-CN" w:bidi="ar"/>
        </w:rPr>
        <w:t>。</w:t>
      </w:r>
      <w:r>
        <w:rPr>
          <w:rFonts w:hint="eastAsia" w:ascii="仿宋_GB2312" w:eastAsia="仿宋_GB2312" w:cs="Times New Roman"/>
          <w:b/>
          <w:bCs/>
          <w:kern w:val="0"/>
          <w:sz w:val="32"/>
          <w:szCs w:val="32"/>
          <w:lang w:val="en-US" w:eastAsia="zh-CN" w:bidi="ar"/>
        </w:rPr>
        <w:t>二是</w:t>
      </w:r>
      <w:r>
        <w:rPr>
          <w:rFonts w:hint="eastAsia" w:ascii="仿宋_GB2312" w:eastAsia="仿宋_GB2312" w:cs="Times New Roman"/>
          <w:kern w:val="0"/>
          <w:sz w:val="32"/>
          <w:szCs w:val="32"/>
          <w:lang w:val="en-US" w:eastAsia="zh-CN" w:bidi="ar"/>
        </w:rPr>
        <w:t>规范政府信息发布流程。</w:t>
      </w:r>
      <w:r>
        <w:rPr>
          <w:rFonts w:hint="eastAsia" w:ascii="仿宋_GB2312" w:eastAsia="仿宋_GB2312"/>
          <w:sz w:val="32"/>
          <w:szCs w:val="32"/>
        </w:rPr>
        <w:t>建立健全政府信息公开保密性审查机制，</w:t>
      </w:r>
      <w:r>
        <w:rPr>
          <w:rFonts w:hint="eastAsia" w:ascii="仿宋_GB2312" w:eastAsia="仿宋_GB2312"/>
          <w:sz w:val="32"/>
          <w:szCs w:val="32"/>
          <w:lang w:eastAsia="zh-CN"/>
        </w:rPr>
        <w:t>所有发布信息均填写保密审查表，经主要领导人签字审批后再进行发布</w:t>
      </w:r>
      <w:r>
        <w:rPr>
          <w:rFonts w:hint="eastAsia" w:ascii="仿宋_GB2312" w:eastAsia="仿宋_GB2312" w:cs="Times New Roman"/>
          <w:kern w:val="0"/>
          <w:sz w:val="32"/>
          <w:szCs w:val="32"/>
          <w:lang w:val="en-US" w:eastAsia="zh-CN" w:bidi="ar"/>
        </w:rPr>
        <w:t>。</w:t>
      </w:r>
    </w:p>
    <w:p>
      <w:pPr>
        <w:keepNext w:val="0"/>
        <w:keepLines w:val="0"/>
        <w:pageBreakBefore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CESI楷体-GB2312" w:hAnsi="CESI楷体-GB2312" w:eastAsia="CESI楷体-GB2312" w:cs="CESI楷体-GB2312"/>
          <w:b/>
          <w:bCs/>
          <w:sz w:val="32"/>
          <w:szCs w:val="32"/>
        </w:rPr>
      </w:pPr>
      <w:r>
        <w:rPr>
          <w:rFonts w:hint="eastAsia" w:ascii="CESI楷体-GB2312" w:hAnsi="CESI楷体-GB2312" w:eastAsia="CESI楷体-GB2312" w:cs="CESI楷体-GB2312"/>
          <w:b/>
          <w:bCs/>
          <w:sz w:val="32"/>
          <w:szCs w:val="32"/>
          <w:lang w:eastAsia="zh-CN"/>
        </w:rPr>
        <w:t>（四）</w:t>
      </w:r>
      <w:r>
        <w:rPr>
          <w:rFonts w:hint="eastAsia" w:ascii="CESI楷体-GB2312" w:hAnsi="CESI楷体-GB2312" w:eastAsia="CESI楷体-GB2312" w:cs="CESI楷体-GB2312"/>
          <w:b/>
          <w:bCs/>
          <w:sz w:val="32"/>
          <w:szCs w:val="32"/>
        </w:rPr>
        <w:t>政府信息公开平台建设</w:t>
      </w:r>
    </w:p>
    <w:p>
      <w:pPr>
        <w:keepNext w:val="0"/>
        <w:keepLines w:val="0"/>
        <w:widowControl/>
        <w:suppressLineNumbers w:val="0"/>
        <w:ind w:firstLine="640" w:firstLineChars="200"/>
        <w:jc w:val="left"/>
        <w:rPr>
          <w:rFonts w:hint="default" w:ascii="Times New Roman" w:hAnsi="Times New Roman" w:eastAsia="仿宋_GB2312" w:cs="Times New Roman"/>
          <w:color w:val="000000"/>
          <w:kern w:val="0"/>
          <w:sz w:val="32"/>
          <w:szCs w:val="32"/>
        </w:rPr>
      </w:pPr>
      <w:r>
        <w:rPr>
          <w:rFonts w:hint="eastAsia" w:ascii="Times New Roman" w:hAnsi="Times New Roman" w:eastAsia="仿宋_GB2312" w:cs="Times New Roman"/>
          <w:color w:val="000000"/>
          <w:kern w:val="0"/>
          <w:sz w:val="32"/>
          <w:szCs w:val="32"/>
          <w:lang w:eastAsia="zh-CN"/>
        </w:rPr>
        <w:t>在“冠县人民政府”网站建设“规划计划”专栏，对我县规划计划进行归集展示</w:t>
      </w:r>
      <w:r>
        <w:rPr>
          <w:rFonts w:hint="default" w:ascii="Times New Roman" w:hAnsi="Times New Roman" w:eastAsia="仿宋_GB2312" w:cs="Times New Roman"/>
          <w:color w:val="000000"/>
          <w:kern w:val="0"/>
          <w:sz w:val="32"/>
          <w:szCs w:val="32"/>
        </w:rPr>
        <w:t>。同时，</w:t>
      </w:r>
      <w:r>
        <w:rPr>
          <w:rFonts w:hint="eastAsia" w:ascii="Times New Roman" w:hAnsi="Times New Roman" w:eastAsia="仿宋_GB2312" w:cs="Times New Roman"/>
          <w:color w:val="000000"/>
          <w:kern w:val="0"/>
          <w:sz w:val="32"/>
          <w:szCs w:val="32"/>
          <w:lang w:eastAsia="zh-CN"/>
        </w:rPr>
        <w:t>通过</w:t>
      </w:r>
      <w:r>
        <w:rPr>
          <w:rFonts w:hint="default" w:ascii="Times New Roman" w:hAnsi="Times New Roman" w:eastAsia="仿宋_GB2312" w:cs="Times New Roman"/>
          <w:color w:val="000000"/>
          <w:kern w:val="0"/>
          <w:sz w:val="32"/>
          <w:szCs w:val="32"/>
        </w:rPr>
        <w:t>“冠县自然资源和规划局”微信公众</w:t>
      </w:r>
      <w:r>
        <w:rPr>
          <w:rFonts w:hint="default" w:ascii="Times New Roman" w:hAnsi="Times New Roman" w:eastAsia="仿宋_GB2312" w:cs="Times New Roman"/>
          <w:b w:val="0"/>
          <w:bCs w:val="0"/>
          <w:color w:val="auto"/>
          <w:kern w:val="0"/>
          <w:sz w:val="32"/>
          <w:szCs w:val="32"/>
        </w:rPr>
        <w:t>号</w:t>
      </w:r>
      <w:r>
        <w:rPr>
          <w:rFonts w:hint="eastAsia" w:ascii="仿宋_GB2312" w:eastAsia="仿宋_GB2312"/>
          <w:b w:val="0"/>
          <w:bCs w:val="0"/>
          <w:color w:val="auto"/>
          <w:sz w:val="32"/>
          <w:szCs w:val="32"/>
          <w:shd w:val="clear" w:color="auto" w:fill="FFFFFF"/>
          <w:lang w:eastAsia="zh-CN"/>
        </w:rPr>
        <w:t>设立了</w:t>
      </w:r>
      <w:r>
        <w:rPr>
          <w:rFonts w:hint="eastAsia" w:ascii="仿宋_GB2312" w:eastAsia="仿宋_GB2312"/>
          <w:b w:val="0"/>
          <w:bCs w:val="0"/>
          <w:color w:val="auto"/>
          <w:sz w:val="32"/>
          <w:szCs w:val="32"/>
          <w:shd w:val="clear" w:color="auto" w:fill="FFFFFF"/>
          <w:lang w:val="en-US" w:eastAsia="zh-CN"/>
        </w:rPr>
        <w:t>机构职能、公示公告、政策法规、不动产办理、我要留言</w:t>
      </w:r>
      <w:r>
        <w:rPr>
          <w:rFonts w:hint="eastAsia" w:ascii="仿宋_GB2312" w:eastAsia="仿宋_GB2312"/>
          <w:b w:val="0"/>
          <w:bCs w:val="0"/>
          <w:color w:val="auto"/>
          <w:sz w:val="32"/>
          <w:szCs w:val="32"/>
          <w:shd w:val="clear" w:color="auto" w:fill="FFFFFF"/>
          <w:lang w:eastAsia="zh-CN"/>
        </w:rPr>
        <w:t>模块，对自然资源资讯、相关政策法规进行了公开，提高服务效能；积极转发国办、省办信息，加大力度传播党和政府声音。</w:t>
      </w:r>
      <w:r>
        <w:rPr>
          <w:rFonts w:hint="default" w:ascii="Times New Roman" w:hAnsi="Times New Roman" w:eastAsia="仿宋_GB2312" w:cs="Times New Roman"/>
          <w:b w:val="0"/>
          <w:bCs w:val="0"/>
          <w:color w:val="auto"/>
          <w:kern w:val="0"/>
          <w:sz w:val="32"/>
          <w:szCs w:val="32"/>
        </w:rPr>
        <w:t>202</w:t>
      </w:r>
      <w:r>
        <w:rPr>
          <w:rFonts w:hint="default" w:ascii="Times New Roman" w:hAnsi="Times New Roman" w:eastAsia="仿宋_GB2312" w:cs="Times New Roman"/>
          <w:color w:val="000000"/>
          <w:kern w:val="0"/>
          <w:sz w:val="32"/>
          <w:szCs w:val="32"/>
        </w:rPr>
        <w:t>1年，冠县自然资源和规划局微信公众号共发布信息122篇</w:t>
      </w:r>
      <w:r>
        <w:rPr>
          <w:rFonts w:hint="eastAsia" w:ascii="Times New Roman" w:hAnsi="Times New Roman" w:eastAsia="仿宋_GB2312" w:cs="Times New Roman"/>
          <w:color w:val="000000"/>
          <w:kern w:val="0"/>
          <w:sz w:val="32"/>
          <w:szCs w:val="32"/>
          <w:lang w:eastAsia="zh-CN"/>
        </w:rPr>
        <w:t>。</w:t>
      </w:r>
    </w:p>
    <w:p>
      <w:pPr>
        <w:widowControl/>
        <w:shd w:val="clear" w:color="auto" w:fill="FFFFFF"/>
        <w:snapToGrid w:val="0"/>
        <w:spacing w:line="240" w:lineRule="auto"/>
        <w:jc w:val="center"/>
        <w:rPr>
          <w:rFonts w:hint="eastAsia" w:ascii="Times New Roman" w:hAnsi="Times New Roman" w:eastAsia="仿宋_GB2312" w:cs="Times New Roman"/>
          <w:color w:val="000000"/>
          <w:kern w:val="0"/>
          <w:sz w:val="32"/>
          <w:szCs w:val="32"/>
          <w:lang w:eastAsia="zh-CN"/>
        </w:rPr>
      </w:pPr>
    </w:p>
    <w:p>
      <w:pPr>
        <w:widowControl/>
        <w:shd w:val="clear" w:color="auto" w:fill="FFFFFF"/>
        <w:snapToGrid w:val="0"/>
        <w:spacing w:line="240" w:lineRule="auto"/>
        <w:jc w:val="center"/>
        <w:rPr>
          <w:rFonts w:hint="eastAsia" w:ascii="Times New Roman" w:hAnsi="Times New Roman" w:eastAsia="仿宋_GB2312" w:cs="Times New Roman"/>
          <w:color w:val="000000"/>
          <w:kern w:val="0"/>
          <w:sz w:val="32"/>
          <w:szCs w:val="32"/>
          <w:lang w:eastAsia="zh-CN"/>
        </w:rPr>
      </w:pPr>
      <w:r>
        <w:rPr>
          <w:rFonts w:hint="eastAsia" w:ascii="Times New Roman" w:hAnsi="Times New Roman" w:eastAsia="仿宋_GB2312" w:cs="Times New Roman"/>
          <w:color w:val="000000"/>
          <w:kern w:val="0"/>
          <w:sz w:val="32"/>
          <w:szCs w:val="32"/>
          <w:lang w:eastAsia="zh-CN"/>
        </w:rPr>
        <w:drawing>
          <wp:inline distT="0" distB="0" distL="114300" distR="114300">
            <wp:extent cx="5272405" cy="1812290"/>
            <wp:effectExtent l="0" t="0" r="4445" b="16510"/>
            <wp:docPr id="11" name="图片 11" descr="截图_选择区域_2022011716275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 name="图片 11" descr="截图_选择区域_20220117162752"/>
                    <pic:cNvPicPr>
                      <a:picLocks noChangeAspect="true"/>
                    </pic:cNvPicPr>
                  </pic:nvPicPr>
                  <pic:blipFill>
                    <a:blip r:embed="rId11"/>
                    <a:stretch>
                      <a:fillRect/>
                    </a:stretch>
                  </pic:blipFill>
                  <pic:spPr>
                    <a:xfrm>
                      <a:off x="0" y="0"/>
                      <a:ext cx="5272405" cy="1812290"/>
                    </a:xfrm>
                    <a:prstGeom prst="rect">
                      <a:avLst/>
                    </a:prstGeom>
                  </pic:spPr>
                </pic:pic>
              </a:graphicData>
            </a:graphic>
          </wp:inline>
        </w:drawing>
      </w:r>
    </w:p>
    <w:p>
      <w:pPr>
        <w:widowControl/>
        <w:shd w:val="clear" w:color="auto" w:fill="FFFFFF"/>
        <w:snapToGrid w:val="0"/>
        <w:spacing w:line="240" w:lineRule="auto"/>
        <w:jc w:val="center"/>
        <w:rPr>
          <w:rFonts w:hint="eastAsia" w:ascii="Times New Roman" w:hAnsi="Times New Roman" w:eastAsia="仿宋_GB2312" w:cs="Times New Roman"/>
          <w:color w:val="000000"/>
          <w:kern w:val="0"/>
          <w:sz w:val="32"/>
          <w:szCs w:val="32"/>
          <w:lang w:eastAsia="zh-CN"/>
        </w:rPr>
      </w:pPr>
      <w:r>
        <w:rPr>
          <w:rFonts w:hint="eastAsia" w:ascii="Times New Roman" w:hAnsi="Times New Roman" w:eastAsia="仿宋_GB2312" w:cs="Times New Roman"/>
          <w:color w:val="000000"/>
          <w:kern w:val="0"/>
          <w:sz w:val="32"/>
          <w:szCs w:val="32"/>
          <w:lang w:eastAsia="zh-CN"/>
        </w:rPr>
        <w:drawing>
          <wp:inline distT="0" distB="0" distL="114300" distR="114300">
            <wp:extent cx="3067685" cy="4681220"/>
            <wp:effectExtent l="0" t="0" r="18415" b="5080"/>
            <wp:docPr id="8" name="图片 8" descr="新媒体截图"/>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图片 8" descr="新媒体截图"/>
                    <pic:cNvPicPr>
                      <a:picLocks noChangeAspect="true"/>
                    </pic:cNvPicPr>
                  </pic:nvPicPr>
                  <pic:blipFill>
                    <a:blip r:embed="rId12"/>
                    <a:stretch>
                      <a:fillRect/>
                    </a:stretch>
                  </pic:blipFill>
                  <pic:spPr>
                    <a:xfrm>
                      <a:off x="0" y="0"/>
                      <a:ext cx="3067685" cy="4681220"/>
                    </a:xfrm>
                    <a:prstGeom prst="rect">
                      <a:avLst/>
                    </a:prstGeom>
                  </pic:spPr>
                </pic:pic>
              </a:graphicData>
            </a:graphic>
          </wp:inline>
        </w:drawing>
      </w:r>
    </w:p>
    <w:p>
      <w:pPr>
        <w:keepNext w:val="0"/>
        <w:keepLines w:val="0"/>
        <w:pageBreakBefore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CESI楷体-GB2312" w:hAnsi="CESI楷体-GB2312" w:eastAsia="CESI楷体-GB2312" w:cs="CESI楷体-GB2312"/>
          <w:b/>
          <w:bCs/>
          <w:sz w:val="32"/>
          <w:szCs w:val="32"/>
        </w:rPr>
      </w:pPr>
      <w:r>
        <w:rPr>
          <w:rFonts w:hint="eastAsia" w:ascii="CESI楷体-GB2312" w:hAnsi="CESI楷体-GB2312" w:eastAsia="CESI楷体-GB2312" w:cs="CESI楷体-GB2312"/>
          <w:b/>
          <w:bCs/>
          <w:sz w:val="32"/>
          <w:szCs w:val="32"/>
          <w:lang w:eastAsia="zh-CN"/>
        </w:rPr>
        <w:t>（五）</w:t>
      </w:r>
      <w:r>
        <w:rPr>
          <w:rFonts w:hint="eastAsia" w:ascii="CESI楷体-GB2312" w:hAnsi="CESI楷体-GB2312" w:eastAsia="CESI楷体-GB2312" w:cs="CESI楷体-GB2312"/>
          <w:b/>
          <w:bCs/>
          <w:sz w:val="32"/>
          <w:szCs w:val="32"/>
        </w:rPr>
        <w:t>监督保障</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成立了政务公开领导小组，明确各层级职责，领导小组下设办公室，负责政务公开工作的具体组织实施及监督指导，初步建立了局办公室总牵头，负责指导检查，各科室各司其职，负责具体工作实施的保障体系。为使全局政务公开工作步入规范化、制度化管理，先后组织开展了2次政务公开业务培训。</w:t>
      </w:r>
    </w:p>
    <w:p>
      <w:pPr>
        <w:pStyle w:val="2"/>
        <w:numPr>
          <w:ilvl w:val="0"/>
          <w:numId w:val="0"/>
        </w:numPr>
        <w:spacing w:before="0" w:after="0" w:line="240" w:lineRule="auto"/>
        <w:ind w:firstLine="640" w:firstLineChars="200"/>
        <w:rPr>
          <w:rFonts w:hint="eastAsia" w:ascii="CESI黑体-GB2312" w:hAnsi="CESI黑体-GB2312" w:eastAsia="CESI黑体-GB2312" w:cs="CESI黑体-GB2312"/>
          <w:b w:val="0"/>
          <w:bCs w:val="0"/>
        </w:rPr>
      </w:pPr>
      <w:r>
        <w:rPr>
          <w:rFonts w:hint="eastAsia" w:ascii="CESI黑体-GB2312" w:hAnsi="CESI黑体-GB2312" w:eastAsia="CESI黑体-GB2312" w:cs="CESI黑体-GB2312"/>
          <w:b w:val="0"/>
          <w:bCs w:val="0"/>
          <w:lang w:eastAsia="zh-CN"/>
        </w:rPr>
        <w:t>二、</w:t>
      </w:r>
      <w:r>
        <w:rPr>
          <w:rFonts w:hint="eastAsia" w:ascii="CESI黑体-GB2312" w:hAnsi="CESI黑体-GB2312" w:eastAsia="CESI黑体-GB2312" w:cs="CESI黑体-GB2312"/>
          <w:b w:val="0"/>
          <w:bCs w:val="0"/>
        </w:rPr>
        <w:t>主动公开政府信息情况</w:t>
      </w:r>
    </w:p>
    <w:tbl>
      <w:tblPr>
        <w:tblStyle w:val="6"/>
        <w:tblW w:w="8824" w:type="dxa"/>
        <w:tblInd w:w="0" w:type="dxa"/>
        <w:tblLayout w:type="fixed"/>
        <w:tblCellMar>
          <w:top w:w="0" w:type="dxa"/>
          <w:left w:w="108" w:type="dxa"/>
          <w:bottom w:w="0" w:type="dxa"/>
          <w:right w:w="108" w:type="dxa"/>
        </w:tblCellMar>
      </w:tblPr>
      <w:tblGrid>
        <w:gridCol w:w="2206"/>
        <w:gridCol w:w="2206"/>
        <w:gridCol w:w="2206"/>
        <w:gridCol w:w="2206"/>
      </w:tblGrid>
      <w:tr>
        <w:tblPrEx>
          <w:tblCellMar>
            <w:top w:w="0" w:type="dxa"/>
            <w:left w:w="108" w:type="dxa"/>
            <w:bottom w:w="0" w:type="dxa"/>
            <w:right w:w="108" w:type="dxa"/>
          </w:tblCellMar>
        </w:tblPrEx>
        <w:trPr>
          <w:trHeight w:val="567" w:hRule="atLeast"/>
        </w:trPr>
        <w:tc>
          <w:tcPr>
            <w:tcW w:w="8824" w:type="dxa"/>
            <w:gridSpan w:val="4"/>
            <w:tcBorders>
              <w:top w:val="single" w:color="auto" w:sz="8" w:space="0"/>
              <w:left w:val="single" w:color="auto" w:sz="8" w:space="0"/>
              <w:bottom w:val="single" w:color="auto" w:sz="8" w:space="0"/>
              <w:right w:val="single" w:color="000000" w:sz="8" w:space="0"/>
            </w:tcBorders>
            <w:shd w:val="clear" w:color="000000" w:fill="C6D9F1"/>
            <w:noWrap w:val="0"/>
            <w:vAlign w:val="center"/>
          </w:tcPr>
          <w:p>
            <w:pPr>
              <w:widowControl/>
              <w:jc w:val="center"/>
              <w:rPr>
                <w:rFonts w:ascii="黑体" w:hAnsi="黑体" w:eastAsia="黑体" w:cs="宋体"/>
                <w:color w:val="000000"/>
                <w:kern w:val="0"/>
                <w:szCs w:val="21"/>
              </w:rPr>
            </w:pPr>
            <w:r>
              <w:rPr>
                <w:rFonts w:hint="eastAsia" w:ascii="黑体" w:hAnsi="黑体" w:eastAsia="黑体" w:cs="宋体"/>
                <w:color w:val="000000"/>
                <w:kern w:val="0"/>
                <w:szCs w:val="21"/>
              </w:rPr>
              <w:t>第二十条</w:t>
            </w:r>
            <w:r>
              <w:rPr>
                <w:rFonts w:hint="eastAsia" w:ascii="黑体" w:hAnsi="黑体" w:eastAsia="黑体" w:cs="宋体"/>
                <w:color w:val="000000"/>
                <w:kern w:val="0"/>
                <w:szCs w:val="21"/>
                <w:lang w:val="en-US" w:eastAsia="zh-CN"/>
              </w:rPr>
              <w:t xml:space="preserve">  </w:t>
            </w:r>
            <w:r>
              <w:rPr>
                <w:rFonts w:hint="eastAsia" w:ascii="黑体" w:hAnsi="黑体" w:eastAsia="黑体" w:cs="宋体"/>
                <w:color w:val="000000"/>
                <w:kern w:val="0"/>
                <w:szCs w:val="21"/>
              </w:rPr>
              <w:t>第（一）项</w:t>
            </w:r>
          </w:p>
        </w:tc>
      </w:tr>
      <w:tr>
        <w:tblPrEx>
          <w:tblCellMar>
            <w:top w:w="0" w:type="dxa"/>
            <w:left w:w="108" w:type="dxa"/>
            <w:bottom w:w="0" w:type="dxa"/>
            <w:right w:w="108" w:type="dxa"/>
          </w:tblCellMar>
        </w:tblPrEx>
        <w:trPr>
          <w:trHeight w:val="567" w:hRule="atLeast"/>
        </w:trPr>
        <w:tc>
          <w:tcPr>
            <w:tcW w:w="2206" w:type="dxa"/>
            <w:tcBorders>
              <w:top w:val="nil"/>
              <w:left w:val="single" w:color="auto" w:sz="8" w:space="0"/>
              <w:bottom w:val="single" w:color="auto" w:sz="8" w:space="0"/>
              <w:right w:val="single" w:color="auto" w:sz="8"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信息内容</w:t>
            </w:r>
          </w:p>
        </w:tc>
        <w:tc>
          <w:tcPr>
            <w:tcW w:w="2206" w:type="dxa"/>
            <w:tcBorders>
              <w:top w:val="nil"/>
              <w:left w:val="nil"/>
              <w:bottom w:val="single" w:color="auto" w:sz="8" w:space="0"/>
              <w:right w:val="single" w:color="auto" w:sz="8"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本年制发件数</w:t>
            </w:r>
          </w:p>
        </w:tc>
        <w:tc>
          <w:tcPr>
            <w:tcW w:w="2206" w:type="dxa"/>
            <w:tcBorders>
              <w:top w:val="nil"/>
              <w:left w:val="nil"/>
              <w:bottom w:val="single" w:color="auto" w:sz="8" w:space="0"/>
              <w:right w:val="single" w:color="auto" w:sz="8"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本年废止件数</w:t>
            </w:r>
          </w:p>
        </w:tc>
        <w:tc>
          <w:tcPr>
            <w:tcW w:w="2206" w:type="dxa"/>
            <w:tcBorders>
              <w:top w:val="nil"/>
              <w:left w:val="nil"/>
              <w:bottom w:val="single" w:color="auto" w:sz="8" w:space="0"/>
              <w:right w:val="single" w:color="auto" w:sz="8"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现行有效件数</w:t>
            </w:r>
          </w:p>
        </w:tc>
      </w:tr>
      <w:tr>
        <w:tblPrEx>
          <w:tblCellMar>
            <w:top w:w="0" w:type="dxa"/>
            <w:left w:w="108" w:type="dxa"/>
            <w:bottom w:w="0" w:type="dxa"/>
            <w:right w:w="108" w:type="dxa"/>
          </w:tblCellMar>
        </w:tblPrEx>
        <w:trPr>
          <w:trHeight w:val="567" w:hRule="atLeast"/>
        </w:trPr>
        <w:tc>
          <w:tcPr>
            <w:tcW w:w="2206" w:type="dxa"/>
            <w:tcBorders>
              <w:top w:val="nil"/>
              <w:left w:val="single" w:color="auto" w:sz="8" w:space="0"/>
              <w:bottom w:val="single" w:color="auto" w:sz="8" w:space="0"/>
              <w:right w:val="single" w:color="auto" w:sz="8" w:space="0"/>
            </w:tcBorders>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规章</w:t>
            </w:r>
          </w:p>
        </w:tc>
        <w:tc>
          <w:tcPr>
            <w:tcW w:w="2206" w:type="dxa"/>
            <w:tcBorders>
              <w:top w:val="nil"/>
              <w:left w:val="nil"/>
              <w:bottom w:val="single" w:color="auto" w:sz="8" w:space="0"/>
              <w:right w:val="single" w:color="auto" w:sz="8" w:space="0"/>
            </w:tcBorders>
            <w:noWrap w:val="0"/>
            <w:vAlign w:val="center"/>
          </w:tcPr>
          <w:p>
            <w:pPr>
              <w:widowControl/>
              <w:jc w:val="center"/>
              <w:rPr>
                <w:rFonts w:hint="eastAsia" w:ascii="仿宋_GB2312" w:hAnsi="宋体" w:eastAsia="仿宋_GB2312" w:cs="宋体"/>
                <w:color w:val="000000"/>
                <w:kern w:val="0"/>
                <w:szCs w:val="21"/>
                <w:lang w:val="en-US" w:eastAsia="zh-CN"/>
              </w:rPr>
            </w:pPr>
            <w:r>
              <w:rPr>
                <w:rFonts w:hint="eastAsia" w:ascii="仿宋_GB2312" w:hAnsi="宋体" w:eastAsia="仿宋_GB2312" w:cs="宋体"/>
                <w:color w:val="000000"/>
                <w:kern w:val="0"/>
                <w:szCs w:val="21"/>
                <w:lang w:val="en-US" w:eastAsia="zh-CN"/>
              </w:rPr>
              <w:t>0</w:t>
            </w:r>
          </w:p>
        </w:tc>
        <w:tc>
          <w:tcPr>
            <w:tcW w:w="2206" w:type="dxa"/>
            <w:tcBorders>
              <w:top w:val="nil"/>
              <w:left w:val="nil"/>
              <w:bottom w:val="single" w:color="auto" w:sz="8" w:space="0"/>
              <w:right w:val="single" w:color="auto" w:sz="8" w:space="0"/>
            </w:tcBorders>
            <w:noWrap w:val="0"/>
            <w:vAlign w:val="center"/>
          </w:tcPr>
          <w:p>
            <w:pPr>
              <w:widowControl/>
              <w:jc w:val="center"/>
              <w:rPr>
                <w:rFonts w:hint="eastAsia" w:ascii="仿宋_GB2312" w:hAnsi="宋体" w:eastAsia="仿宋_GB2312" w:cs="宋体"/>
                <w:color w:val="000000"/>
                <w:kern w:val="0"/>
                <w:szCs w:val="21"/>
                <w:lang w:val="en-US" w:eastAsia="zh-CN"/>
              </w:rPr>
            </w:pPr>
            <w:r>
              <w:rPr>
                <w:rFonts w:hint="eastAsia" w:ascii="仿宋_GB2312" w:hAnsi="宋体" w:eastAsia="仿宋_GB2312" w:cs="宋体"/>
                <w:color w:val="000000"/>
                <w:kern w:val="0"/>
                <w:szCs w:val="21"/>
                <w:lang w:val="en-US" w:eastAsia="zh-CN"/>
              </w:rPr>
              <w:t>0</w:t>
            </w:r>
          </w:p>
        </w:tc>
        <w:tc>
          <w:tcPr>
            <w:tcW w:w="2206" w:type="dxa"/>
            <w:tcBorders>
              <w:top w:val="nil"/>
              <w:left w:val="nil"/>
              <w:bottom w:val="single" w:color="auto" w:sz="8" w:space="0"/>
              <w:right w:val="single" w:color="auto" w:sz="8" w:space="0"/>
            </w:tcBorders>
            <w:noWrap w:val="0"/>
            <w:vAlign w:val="center"/>
          </w:tcPr>
          <w:p>
            <w:pPr>
              <w:widowControl/>
              <w:jc w:val="center"/>
              <w:rPr>
                <w:rFonts w:hint="eastAsia" w:ascii="仿宋_GB2312" w:hAnsi="Calibri" w:eastAsia="仿宋_GB2312" w:cs="Calibri"/>
                <w:color w:val="000000"/>
                <w:kern w:val="0"/>
                <w:szCs w:val="21"/>
                <w:lang w:val="en-US" w:eastAsia="zh-CN"/>
              </w:rPr>
            </w:pPr>
            <w:r>
              <w:rPr>
                <w:rFonts w:hint="eastAsia" w:ascii="仿宋_GB2312" w:eastAsia="仿宋_GB2312" w:cs="Calibri"/>
                <w:color w:val="000000"/>
                <w:kern w:val="0"/>
                <w:szCs w:val="21"/>
                <w:lang w:val="en-US" w:eastAsia="zh-CN"/>
              </w:rPr>
              <w:t>0</w:t>
            </w:r>
          </w:p>
        </w:tc>
      </w:tr>
      <w:tr>
        <w:tblPrEx>
          <w:tblCellMar>
            <w:top w:w="0" w:type="dxa"/>
            <w:left w:w="108" w:type="dxa"/>
            <w:bottom w:w="0" w:type="dxa"/>
            <w:right w:w="108" w:type="dxa"/>
          </w:tblCellMar>
        </w:tblPrEx>
        <w:trPr>
          <w:trHeight w:val="567" w:hRule="atLeast"/>
        </w:trPr>
        <w:tc>
          <w:tcPr>
            <w:tcW w:w="2206" w:type="dxa"/>
            <w:tcBorders>
              <w:top w:val="nil"/>
              <w:left w:val="single" w:color="auto" w:sz="8" w:space="0"/>
              <w:bottom w:val="single" w:color="auto" w:sz="8" w:space="0"/>
              <w:right w:val="single" w:color="auto" w:sz="8" w:space="0"/>
            </w:tcBorders>
            <w:noWrap w:val="0"/>
            <w:vAlign w:val="center"/>
          </w:tcPr>
          <w:p>
            <w:pPr>
              <w:widowControl/>
              <w:jc w:val="left"/>
              <w:rPr>
                <w:rFonts w:hint="eastAsia" w:ascii="仿宋_GB2312" w:hAnsi="宋体" w:eastAsia="仿宋_GB2312" w:cs="宋体"/>
                <w:color w:val="000000"/>
                <w:kern w:val="0"/>
                <w:szCs w:val="21"/>
                <w:lang w:val="en-US" w:eastAsia="zh-CN"/>
              </w:rPr>
            </w:pPr>
            <w:r>
              <w:rPr>
                <w:rFonts w:hint="eastAsia" w:ascii="仿宋_GB2312" w:hAnsi="宋体" w:eastAsia="仿宋_GB2312" w:cs="宋体"/>
                <w:color w:val="000000"/>
                <w:kern w:val="0"/>
                <w:szCs w:val="21"/>
              </w:rPr>
              <w:t>行政规范性文件</w:t>
            </w:r>
          </w:p>
        </w:tc>
        <w:tc>
          <w:tcPr>
            <w:tcW w:w="2206" w:type="dxa"/>
            <w:tcBorders>
              <w:top w:val="nil"/>
              <w:left w:val="nil"/>
              <w:bottom w:val="single" w:color="auto" w:sz="8" w:space="0"/>
              <w:right w:val="single" w:color="auto" w:sz="8" w:space="0"/>
            </w:tcBorders>
            <w:noWrap w:val="0"/>
            <w:vAlign w:val="center"/>
          </w:tcPr>
          <w:p>
            <w:pPr>
              <w:widowControl/>
              <w:jc w:val="center"/>
              <w:rPr>
                <w:rFonts w:hint="eastAsia" w:ascii="仿宋_GB2312" w:hAnsi="宋体" w:eastAsia="仿宋_GB2312" w:cs="宋体"/>
                <w:color w:val="000000"/>
                <w:kern w:val="0"/>
                <w:szCs w:val="21"/>
                <w:lang w:val="en-US" w:eastAsia="zh-CN"/>
              </w:rPr>
            </w:pPr>
            <w:r>
              <w:rPr>
                <w:rFonts w:hint="eastAsia" w:ascii="仿宋_GB2312" w:hAnsi="宋体" w:eastAsia="仿宋_GB2312" w:cs="宋体"/>
                <w:color w:val="000000"/>
                <w:kern w:val="0"/>
                <w:szCs w:val="21"/>
                <w:lang w:val="en-US" w:eastAsia="zh-CN"/>
              </w:rPr>
              <w:t>0</w:t>
            </w:r>
          </w:p>
        </w:tc>
        <w:tc>
          <w:tcPr>
            <w:tcW w:w="2206" w:type="dxa"/>
            <w:tcBorders>
              <w:top w:val="nil"/>
              <w:left w:val="nil"/>
              <w:bottom w:val="single" w:color="auto" w:sz="8" w:space="0"/>
              <w:right w:val="single" w:color="auto" w:sz="8" w:space="0"/>
            </w:tcBorders>
            <w:noWrap w:val="0"/>
            <w:vAlign w:val="center"/>
          </w:tcPr>
          <w:p>
            <w:pPr>
              <w:widowControl/>
              <w:jc w:val="center"/>
              <w:rPr>
                <w:rFonts w:hint="eastAsia" w:ascii="仿宋_GB2312" w:hAnsi="宋体" w:eastAsia="仿宋_GB2312" w:cs="宋体"/>
                <w:color w:val="000000"/>
                <w:kern w:val="0"/>
                <w:szCs w:val="21"/>
                <w:lang w:val="en-US" w:eastAsia="zh-CN"/>
              </w:rPr>
            </w:pPr>
            <w:r>
              <w:rPr>
                <w:rFonts w:hint="eastAsia" w:ascii="仿宋_GB2312" w:hAnsi="宋体" w:eastAsia="仿宋_GB2312" w:cs="宋体"/>
                <w:color w:val="000000"/>
                <w:kern w:val="0"/>
                <w:szCs w:val="21"/>
                <w:lang w:val="en-US" w:eastAsia="zh-CN"/>
              </w:rPr>
              <w:t>0</w:t>
            </w:r>
          </w:p>
        </w:tc>
        <w:tc>
          <w:tcPr>
            <w:tcW w:w="2206" w:type="dxa"/>
            <w:tcBorders>
              <w:top w:val="nil"/>
              <w:left w:val="nil"/>
              <w:bottom w:val="single" w:color="auto" w:sz="8" w:space="0"/>
              <w:right w:val="single" w:color="auto" w:sz="8" w:space="0"/>
            </w:tcBorders>
            <w:noWrap w:val="0"/>
            <w:vAlign w:val="center"/>
          </w:tcPr>
          <w:p>
            <w:pPr>
              <w:widowControl/>
              <w:jc w:val="center"/>
              <w:rPr>
                <w:rFonts w:hint="eastAsia" w:ascii="仿宋_GB2312" w:hAnsi="Calibri" w:eastAsia="仿宋_GB2312" w:cs="Calibri"/>
                <w:color w:val="000000"/>
                <w:kern w:val="0"/>
                <w:szCs w:val="21"/>
                <w:lang w:val="en-US" w:eastAsia="zh-CN"/>
              </w:rPr>
            </w:pPr>
            <w:r>
              <w:rPr>
                <w:rFonts w:hint="eastAsia" w:ascii="仿宋_GB2312" w:eastAsia="仿宋_GB2312" w:cs="Calibri"/>
                <w:color w:val="000000"/>
                <w:kern w:val="0"/>
                <w:szCs w:val="21"/>
                <w:lang w:val="en-US" w:eastAsia="zh-CN"/>
              </w:rPr>
              <w:t>0</w:t>
            </w:r>
          </w:p>
        </w:tc>
      </w:tr>
      <w:tr>
        <w:tblPrEx>
          <w:tblCellMar>
            <w:top w:w="0" w:type="dxa"/>
            <w:left w:w="108" w:type="dxa"/>
            <w:bottom w:w="0" w:type="dxa"/>
            <w:right w:w="108" w:type="dxa"/>
          </w:tblCellMar>
        </w:tblPrEx>
        <w:trPr>
          <w:trHeight w:val="567" w:hRule="atLeast"/>
        </w:trPr>
        <w:tc>
          <w:tcPr>
            <w:tcW w:w="8824" w:type="dxa"/>
            <w:gridSpan w:val="4"/>
            <w:tcBorders>
              <w:top w:val="single" w:color="auto" w:sz="8" w:space="0"/>
              <w:left w:val="single" w:color="auto" w:sz="8" w:space="0"/>
              <w:bottom w:val="single" w:color="auto" w:sz="8" w:space="0"/>
              <w:right w:val="single" w:color="000000" w:sz="8" w:space="0"/>
            </w:tcBorders>
            <w:shd w:val="clear" w:color="000000" w:fill="C6D9F1"/>
            <w:noWrap w:val="0"/>
            <w:vAlign w:val="center"/>
          </w:tcPr>
          <w:p>
            <w:pPr>
              <w:widowControl/>
              <w:jc w:val="center"/>
              <w:rPr>
                <w:rFonts w:ascii="黑体" w:hAnsi="黑体" w:eastAsia="黑体" w:cs="宋体"/>
                <w:color w:val="000000"/>
                <w:kern w:val="0"/>
                <w:szCs w:val="21"/>
              </w:rPr>
            </w:pPr>
            <w:r>
              <w:rPr>
                <w:rFonts w:hint="eastAsia" w:ascii="黑体" w:hAnsi="黑体" w:eastAsia="黑体" w:cs="宋体"/>
                <w:color w:val="000000"/>
                <w:kern w:val="0"/>
                <w:szCs w:val="21"/>
              </w:rPr>
              <w:t>第二十条</w:t>
            </w:r>
            <w:r>
              <w:rPr>
                <w:rFonts w:hint="eastAsia" w:ascii="黑体" w:hAnsi="黑体" w:eastAsia="黑体" w:cs="宋体"/>
                <w:color w:val="000000"/>
                <w:kern w:val="0"/>
                <w:szCs w:val="21"/>
                <w:lang w:val="en-US" w:eastAsia="zh-CN"/>
              </w:rPr>
              <w:t xml:space="preserve">  </w:t>
            </w:r>
            <w:r>
              <w:rPr>
                <w:rFonts w:hint="eastAsia" w:ascii="黑体" w:hAnsi="黑体" w:eastAsia="黑体" w:cs="宋体"/>
                <w:color w:val="000000"/>
                <w:kern w:val="0"/>
                <w:szCs w:val="21"/>
              </w:rPr>
              <w:t>第（五）项</w:t>
            </w:r>
          </w:p>
        </w:tc>
      </w:tr>
      <w:tr>
        <w:tblPrEx>
          <w:tblCellMar>
            <w:top w:w="0" w:type="dxa"/>
            <w:left w:w="108" w:type="dxa"/>
            <w:bottom w:w="0" w:type="dxa"/>
            <w:right w:w="108" w:type="dxa"/>
          </w:tblCellMar>
        </w:tblPrEx>
        <w:trPr>
          <w:trHeight w:val="567" w:hRule="atLeast"/>
        </w:trPr>
        <w:tc>
          <w:tcPr>
            <w:tcW w:w="2206" w:type="dxa"/>
            <w:tcBorders>
              <w:top w:val="nil"/>
              <w:left w:val="single" w:color="auto" w:sz="8" w:space="0"/>
              <w:bottom w:val="single" w:color="auto" w:sz="8" w:space="0"/>
              <w:right w:val="single" w:color="auto" w:sz="8"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信息内容</w:t>
            </w:r>
          </w:p>
        </w:tc>
        <w:tc>
          <w:tcPr>
            <w:tcW w:w="6618" w:type="dxa"/>
            <w:gridSpan w:val="3"/>
            <w:tcBorders>
              <w:top w:val="single" w:color="auto" w:sz="8" w:space="0"/>
              <w:left w:val="nil"/>
              <w:bottom w:val="single" w:color="auto" w:sz="8" w:space="0"/>
              <w:right w:val="single" w:color="000000" w:sz="8"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本年处理决定数量</w:t>
            </w:r>
          </w:p>
        </w:tc>
      </w:tr>
      <w:tr>
        <w:tblPrEx>
          <w:tblCellMar>
            <w:top w:w="0" w:type="dxa"/>
            <w:left w:w="108" w:type="dxa"/>
            <w:bottom w:w="0" w:type="dxa"/>
            <w:right w:w="108" w:type="dxa"/>
          </w:tblCellMar>
        </w:tblPrEx>
        <w:trPr>
          <w:trHeight w:val="567" w:hRule="atLeast"/>
        </w:trPr>
        <w:tc>
          <w:tcPr>
            <w:tcW w:w="2206" w:type="dxa"/>
            <w:tcBorders>
              <w:top w:val="nil"/>
              <w:left w:val="single" w:color="auto" w:sz="8" w:space="0"/>
              <w:bottom w:val="single" w:color="auto" w:sz="8" w:space="0"/>
              <w:right w:val="single" w:color="auto" w:sz="8" w:space="0"/>
            </w:tcBorders>
            <w:noWrap w:val="0"/>
            <w:vAlign w:val="center"/>
          </w:tcPr>
          <w:p>
            <w:pPr>
              <w:widowControl/>
              <w:jc w:val="left"/>
              <w:rPr>
                <w:rFonts w:hint="eastAsia" w:ascii="仿宋_GB2312" w:hAnsi="宋体" w:eastAsia="仿宋_GB2312" w:cs="宋体"/>
                <w:color w:val="000000"/>
                <w:kern w:val="0"/>
                <w:szCs w:val="21"/>
                <w:lang w:eastAsia="zh-CN"/>
              </w:rPr>
            </w:pPr>
            <w:r>
              <w:rPr>
                <w:rFonts w:hint="eastAsia" w:ascii="仿宋_GB2312" w:hAnsi="宋体" w:eastAsia="仿宋_GB2312" w:cs="宋体"/>
                <w:color w:val="000000"/>
                <w:kern w:val="0"/>
                <w:szCs w:val="21"/>
              </w:rPr>
              <w:t>行政许可</w:t>
            </w:r>
          </w:p>
        </w:tc>
        <w:tc>
          <w:tcPr>
            <w:tcW w:w="6618" w:type="dxa"/>
            <w:gridSpan w:val="3"/>
            <w:tcBorders>
              <w:top w:val="single" w:color="auto" w:sz="8" w:space="0"/>
              <w:left w:val="nil"/>
              <w:bottom w:val="single" w:color="auto" w:sz="8" w:space="0"/>
              <w:right w:val="single" w:color="000000" w:sz="8" w:space="0"/>
            </w:tcBorders>
            <w:noWrap w:val="0"/>
            <w:vAlign w:val="center"/>
          </w:tcPr>
          <w:p>
            <w:pPr>
              <w:widowControl/>
              <w:jc w:val="center"/>
              <w:rPr>
                <w:rFonts w:hint="eastAsia" w:ascii="仿宋_GB2312" w:hAnsi="Calibri" w:eastAsia="仿宋_GB2312" w:cs="Calibri"/>
                <w:color w:val="000000"/>
                <w:kern w:val="0"/>
                <w:szCs w:val="21"/>
                <w:lang w:val="en-US" w:eastAsia="zh-CN"/>
              </w:rPr>
            </w:pPr>
            <w:r>
              <w:rPr>
                <w:rFonts w:hint="eastAsia" w:ascii="仿宋_GB2312" w:eastAsia="仿宋_GB2312" w:cs="Calibri"/>
                <w:color w:val="000000"/>
                <w:kern w:val="0"/>
                <w:szCs w:val="21"/>
                <w:lang w:val="en-US" w:eastAsia="zh-CN"/>
              </w:rPr>
              <w:t>0</w:t>
            </w:r>
          </w:p>
        </w:tc>
      </w:tr>
      <w:tr>
        <w:tblPrEx>
          <w:tblCellMar>
            <w:top w:w="0" w:type="dxa"/>
            <w:left w:w="108" w:type="dxa"/>
            <w:bottom w:w="0" w:type="dxa"/>
            <w:right w:w="108" w:type="dxa"/>
          </w:tblCellMar>
        </w:tblPrEx>
        <w:trPr>
          <w:trHeight w:val="567" w:hRule="atLeast"/>
        </w:trPr>
        <w:tc>
          <w:tcPr>
            <w:tcW w:w="8824" w:type="dxa"/>
            <w:gridSpan w:val="4"/>
            <w:tcBorders>
              <w:top w:val="single" w:color="auto" w:sz="8" w:space="0"/>
              <w:left w:val="single" w:color="auto" w:sz="8" w:space="0"/>
              <w:bottom w:val="single" w:color="auto" w:sz="8" w:space="0"/>
              <w:right w:val="single" w:color="000000" w:sz="8" w:space="0"/>
            </w:tcBorders>
            <w:shd w:val="clear" w:color="000000" w:fill="C6D9F1"/>
            <w:noWrap w:val="0"/>
            <w:vAlign w:val="center"/>
          </w:tcPr>
          <w:p>
            <w:pPr>
              <w:widowControl/>
              <w:jc w:val="center"/>
              <w:rPr>
                <w:rFonts w:ascii="黑体" w:hAnsi="黑体" w:eastAsia="黑体" w:cs="宋体"/>
                <w:color w:val="000000"/>
                <w:kern w:val="0"/>
                <w:szCs w:val="21"/>
              </w:rPr>
            </w:pPr>
            <w:r>
              <w:rPr>
                <w:rFonts w:hint="eastAsia" w:ascii="黑体" w:hAnsi="黑体" w:eastAsia="黑体" w:cs="宋体"/>
                <w:color w:val="000000"/>
                <w:kern w:val="0"/>
                <w:szCs w:val="21"/>
              </w:rPr>
              <w:t>第二十条</w:t>
            </w:r>
            <w:r>
              <w:rPr>
                <w:rFonts w:hint="eastAsia" w:ascii="黑体" w:hAnsi="黑体" w:eastAsia="黑体" w:cs="宋体"/>
                <w:color w:val="000000"/>
                <w:kern w:val="0"/>
                <w:szCs w:val="21"/>
                <w:lang w:val="en-US" w:eastAsia="zh-CN"/>
              </w:rPr>
              <w:t xml:space="preserve">  </w:t>
            </w:r>
            <w:r>
              <w:rPr>
                <w:rFonts w:hint="eastAsia" w:ascii="黑体" w:hAnsi="黑体" w:eastAsia="黑体" w:cs="宋体"/>
                <w:color w:val="000000"/>
                <w:kern w:val="0"/>
                <w:szCs w:val="21"/>
              </w:rPr>
              <w:t>第（六）项</w:t>
            </w:r>
          </w:p>
        </w:tc>
      </w:tr>
      <w:tr>
        <w:tblPrEx>
          <w:tblCellMar>
            <w:top w:w="0" w:type="dxa"/>
            <w:left w:w="108" w:type="dxa"/>
            <w:bottom w:w="0" w:type="dxa"/>
            <w:right w:w="108" w:type="dxa"/>
          </w:tblCellMar>
        </w:tblPrEx>
        <w:trPr>
          <w:trHeight w:val="567" w:hRule="atLeast"/>
        </w:trPr>
        <w:tc>
          <w:tcPr>
            <w:tcW w:w="2206" w:type="dxa"/>
            <w:tcBorders>
              <w:top w:val="nil"/>
              <w:left w:val="single" w:color="auto" w:sz="8" w:space="0"/>
              <w:bottom w:val="single" w:color="auto" w:sz="8" w:space="0"/>
              <w:right w:val="single" w:color="auto" w:sz="8"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信息内容</w:t>
            </w:r>
          </w:p>
        </w:tc>
        <w:tc>
          <w:tcPr>
            <w:tcW w:w="6618" w:type="dxa"/>
            <w:gridSpan w:val="3"/>
            <w:tcBorders>
              <w:top w:val="single" w:color="auto" w:sz="8" w:space="0"/>
              <w:left w:val="nil"/>
              <w:bottom w:val="single" w:color="auto" w:sz="8" w:space="0"/>
              <w:right w:val="single" w:color="000000" w:sz="8"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本年处理决定数量</w:t>
            </w:r>
          </w:p>
        </w:tc>
      </w:tr>
      <w:tr>
        <w:tblPrEx>
          <w:tblCellMar>
            <w:top w:w="0" w:type="dxa"/>
            <w:left w:w="108" w:type="dxa"/>
            <w:bottom w:w="0" w:type="dxa"/>
            <w:right w:w="108" w:type="dxa"/>
          </w:tblCellMar>
        </w:tblPrEx>
        <w:trPr>
          <w:trHeight w:val="567" w:hRule="atLeast"/>
        </w:trPr>
        <w:tc>
          <w:tcPr>
            <w:tcW w:w="2206" w:type="dxa"/>
            <w:tcBorders>
              <w:top w:val="nil"/>
              <w:left w:val="single" w:color="auto" w:sz="8" w:space="0"/>
              <w:bottom w:val="single" w:color="auto" w:sz="8" w:space="0"/>
              <w:right w:val="single" w:color="auto" w:sz="8" w:space="0"/>
            </w:tcBorders>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行政处罚</w:t>
            </w:r>
          </w:p>
        </w:tc>
        <w:tc>
          <w:tcPr>
            <w:tcW w:w="6618" w:type="dxa"/>
            <w:gridSpan w:val="3"/>
            <w:tcBorders>
              <w:top w:val="single" w:color="auto" w:sz="8" w:space="0"/>
              <w:left w:val="nil"/>
              <w:bottom w:val="single" w:color="auto" w:sz="8" w:space="0"/>
              <w:right w:val="single" w:color="000000" w:sz="8" w:space="0"/>
            </w:tcBorders>
            <w:noWrap w:val="0"/>
            <w:vAlign w:val="center"/>
          </w:tcPr>
          <w:p>
            <w:pPr>
              <w:widowControl/>
              <w:jc w:val="center"/>
              <w:rPr>
                <w:rFonts w:hint="eastAsia" w:ascii="仿宋_GB2312" w:hAnsi="宋体" w:eastAsia="仿宋_GB2312" w:cs="宋体"/>
                <w:color w:val="000000"/>
                <w:kern w:val="0"/>
                <w:szCs w:val="21"/>
                <w:lang w:eastAsia="zh-CN"/>
              </w:rPr>
            </w:pPr>
            <w:r>
              <w:rPr>
                <w:rFonts w:hint="eastAsia" w:ascii="仿宋_GB2312" w:hAnsi="宋体" w:eastAsia="仿宋_GB2312" w:cs="宋体"/>
                <w:color w:val="000000"/>
                <w:kern w:val="0"/>
                <w:szCs w:val="21"/>
                <w:lang w:val="en-US" w:eastAsia="zh-CN"/>
              </w:rPr>
              <w:t>0</w:t>
            </w:r>
          </w:p>
        </w:tc>
      </w:tr>
      <w:tr>
        <w:tblPrEx>
          <w:tblCellMar>
            <w:top w:w="0" w:type="dxa"/>
            <w:left w:w="108" w:type="dxa"/>
            <w:bottom w:w="0" w:type="dxa"/>
            <w:right w:w="108" w:type="dxa"/>
          </w:tblCellMar>
        </w:tblPrEx>
        <w:trPr>
          <w:trHeight w:val="567" w:hRule="atLeast"/>
        </w:trPr>
        <w:tc>
          <w:tcPr>
            <w:tcW w:w="2206" w:type="dxa"/>
            <w:tcBorders>
              <w:top w:val="nil"/>
              <w:left w:val="single" w:color="auto" w:sz="8" w:space="0"/>
              <w:bottom w:val="single" w:color="auto" w:sz="8" w:space="0"/>
              <w:right w:val="single" w:color="auto" w:sz="8" w:space="0"/>
            </w:tcBorders>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行政强制</w:t>
            </w:r>
          </w:p>
        </w:tc>
        <w:tc>
          <w:tcPr>
            <w:tcW w:w="6618" w:type="dxa"/>
            <w:gridSpan w:val="3"/>
            <w:tcBorders>
              <w:top w:val="single" w:color="auto" w:sz="8" w:space="0"/>
              <w:left w:val="nil"/>
              <w:bottom w:val="single" w:color="auto" w:sz="8" w:space="0"/>
              <w:right w:val="single" w:color="000000" w:sz="8" w:space="0"/>
            </w:tcBorders>
            <w:noWrap w:val="0"/>
            <w:vAlign w:val="center"/>
          </w:tcPr>
          <w:p>
            <w:pPr>
              <w:widowControl/>
              <w:jc w:val="center"/>
              <w:rPr>
                <w:rFonts w:hint="eastAsia" w:ascii="仿宋_GB2312" w:hAnsi="宋体" w:eastAsia="仿宋_GB2312" w:cs="宋体"/>
                <w:color w:val="000000"/>
                <w:kern w:val="0"/>
                <w:szCs w:val="21"/>
                <w:lang w:eastAsia="zh-CN"/>
              </w:rPr>
            </w:pPr>
            <w:r>
              <w:rPr>
                <w:rFonts w:hint="eastAsia" w:ascii="仿宋_GB2312" w:hAnsi="宋体" w:eastAsia="仿宋_GB2312" w:cs="宋体"/>
                <w:color w:val="000000"/>
                <w:kern w:val="0"/>
                <w:szCs w:val="21"/>
                <w:lang w:val="en-US" w:eastAsia="zh-CN"/>
              </w:rPr>
              <w:t>0</w:t>
            </w:r>
          </w:p>
        </w:tc>
      </w:tr>
      <w:tr>
        <w:tblPrEx>
          <w:tblCellMar>
            <w:top w:w="0" w:type="dxa"/>
            <w:left w:w="108" w:type="dxa"/>
            <w:bottom w:w="0" w:type="dxa"/>
            <w:right w:w="108" w:type="dxa"/>
          </w:tblCellMar>
        </w:tblPrEx>
        <w:trPr>
          <w:trHeight w:val="567" w:hRule="atLeast"/>
        </w:trPr>
        <w:tc>
          <w:tcPr>
            <w:tcW w:w="8824" w:type="dxa"/>
            <w:gridSpan w:val="4"/>
            <w:tcBorders>
              <w:top w:val="single" w:color="auto" w:sz="8" w:space="0"/>
              <w:left w:val="single" w:color="auto" w:sz="8" w:space="0"/>
              <w:bottom w:val="single" w:color="auto" w:sz="8" w:space="0"/>
              <w:right w:val="single" w:color="000000" w:sz="8" w:space="0"/>
            </w:tcBorders>
            <w:shd w:val="clear" w:color="000000" w:fill="C6D9F1"/>
            <w:noWrap w:val="0"/>
            <w:vAlign w:val="center"/>
          </w:tcPr>
          <w:p>
            <w:pPr>
              <w:widowControl/>
              <w:jc w:val="center"/>
              <w:rPr>
                <w:rFonts w:ascii="黑体" w:hAnsi="黑体" w:eastAsia="黑体" w:cs="宋体"/>
                <w:color w:val="000000"/>
                <w:kern w:val="0"/>
                <w:szCs w:val="21"/>
              </w:rPr>
            </w:pPr>
            <w:r>
              <w:rPr>
                <w:rFonts w:hint="eastAsia" w:ascii="黑体" w:hAnsi="黑体" w:eastAsia="黑体" w:cs="宋体"/>
                <w:color w:val="000000"/>
                <w:kern w:val="0"/>
                <w:szCs w:val="21"/>
              </w:rPr>
              <w:t>第二十条</w:t>
            </w:r>
            <w:r>
              <w:rPr>
                <w:rFonts w:hint="eastAsia" w:ascii="黑体" w:hAnsi="黑体" w:eastAsia="黑体" w:cs="宋体"/>
                <w:color w:val="000000"/>
                <w:kern w:val="0"/>
                <w:szCs w:val="21"/>
                <w:lang w:val="en-US" w:eastAsia="zh-CN"/>
              </w:rPr>
              <w:t xml:space="preserve">  </w:t>
            </w:r>
            <w:r>
              <w:rPr>
                <w:rFonts w:hint="eastAsia" w:ascii="黑体" w:hAnsi="黑体" w:eastAsia="黑体" w:cs="宋体"/>
                <w:color w:val="000000"/>
                <w:kern w:val="0"/>
                <w:szCs w:val="21"/>
              </w:rPr>
              <w:t>第（八）项</w:t>
            </w:r>
          </w:p>
        </w:tc>
      </w:tr>
      <w:tr>
        <w:tblPrEx>
          <w:tblCellMar>
            <w:top w:w="0" w:type="dxa"/>
            <w:left w:w="108" w:type="dxa"/>
            <w:bottom w:w="0" w:type="dxa"/>
            <w:right w:w="108" w:type="dxa"/>
          </w:tblCellMar>
        </w:tblPrEx>
        <w:trPr>
          <w:trHeight w:val="567" w:hRule="atLeast"/>
        </w:trPr>
        <w:tc>
          <w:tcPr>
            <w:tcW w:w="2206" w:type="dxa"/>
            <w:tcBorders>
              <w:top w:val="nil"/>
              <w:left w:val="single" w:color="auto" w:sz="8" w:space="0"/>
              <w:bottom w:val="single" w:color="auto" w:sz="8" w:space="0"/>
              <w:right w:val="single" w:color="auto" w:sz="8"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信息内容</w:t>
            </w:r>
          </w:p>
        </w:tc>
        <w:tc>
          <w:tcPr>
            <w:tcW w:w="6618" w:type="dxa"/>
            <w:gridSpan w:val="3"/>
            <w:tcBorders>
              <w:top w:val="single" w:color="auto" w:sz="8" w:space="0"/>
              <w:left w:val="nil"/>
              <w:bottom w:val="single" w:color="auto" w:sz="8" w:space="0"/>
              <w:right w:val="single" w:color="000000" w:sz="8"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本年收费金额（单位：万元）</w:t>
            </w:r>
          </w:p>
        </w:tc>
      </w:tr>
      <w:tr>
        <w:tblPrEx>
          <w:tblCellMar>
            <w:top w:w="0" w:type="dxa"/>
            <w:left w:w="108" w:type="dxa"/>
            <w:bottom w:w="0" w:type="dxa"/>
            <w:right w:w="108" w:type="dxa"/>
          </w:tblCellMar>
        </w:tblPrEx>
        <w:trPr>
          <w:trHeight w:val="567" w:hRule="atLeast"/>
        </w:trPr>
        <w:tc>
          <w:tcPr>
            <w:tcW w:w="2206" w:type="dxa"/>
            <w:tcBorders>
              <w:top w:val="nil"/>
              <w:left w:val="single" w:color="auto" w:sz="8" w:space="0"/>
              <w:bottom w:val="single" w:color="auto" w:sz="8" w:space="0"/>
              <w:right w:val="single" w:color="auto" w:sz="8" w:space="0"/>
            </w:tcBorders>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行政事业性收费</w:t>
            </w:r>
          </w:p>
        </w:tc>
        <w:tc>
          <w:tcPr>
            <w:tcW w:w="6618" w:type="dxa"/>
            <w:gridSpan w:val="3"/>
            <w:tcBorders>
              <w:top w:val="single" w:color="auto" w:sz="8" w:space="0"/>
              <w:left w:val="nil"/>
              <w:bottom w:val="single" w:color="auto" w:sz="8" w:space="0"/>
              <w:right w:val="single" w:color="000000" w:sz="8" w:space="0"/>
            </w:tcBorders>
            <w:noWrap w:val="0"/>
            <w:vAlign w:val="center"/>
          </w:tcPr>
          <w:p>
            <w:pPr>
              <w:widowControl/>
              <w:jc w:val="center"/>
              <w:rPr>
                <w:rFonts w:hint="default" w:ascii="仿宋_GB2312" w:hAnsi="Calibri" w:eastAsia="仿宋_GB2312" w:cs="Calibri"/>
                <w:color w:val="000000"/>
                <w:kern w:val="0"/>
                <w:szCs w:val="21"/>
                <w:lang w:val="en-US" w:eastAsia="zh-CN"/>
              </w:rPr>
            </w:pPr>
            <w:r>
              <w:rPr>
                <w:rFonts w:hint="eastAsia" w:ascii="仿宋_GB2312" w:eastAsia="仿宋_GB2312" w:cs="Calibri"/>
                <w:b w:val="0"/>
                <w:bCs w:val="0"/>
                <w:color w:val="auto"/>
                <w:kern w:val="0"/>
                <w:szCs w:val="21"/>
                <w:lang w:val="en-US" w:eastAsia="zh-CN"/>
              </w:rPr>
              <w:t>1098.01</w:t>
            </w:r>
          </w:p>
        </w:tc>
      </w:tr>
    </w:tbl>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ascii="CESI楷体-GB2312" w:hAnsi="CESI楷体-GB2312" w:eastAsia="CESI楷体-GB2312" w:cs="CESI楷体-GB2312"/>
          <w:b/>
          <w:bCs/>
          <w:sz w:val="32"/>
          <w:szCs w:val="32"/>
        </w:rPr>
      </w:pPr>
    </w:p>
    <w:p>
      <w:pPr>
        <w:ind w:firstLine="640" w:firstLineChars="200"/>
        <w:jc w:val="left"/>
        <w:rPr>
          <w:rFonts w:hint="eastAsia" w:ascii="CESI黑体-GB2312" w:hAnsi="CESI黑体-GB2312" w:eastAsia="CESI黑体-GB2312" w:cs="CESI黑体-GB2312"/>
          <w:b w:val="0"/>
          <w:bCs w:val="0"/>
          <w:color w:val="auto"/>
          <w:sz w:val="32"/>
          <w:szCs w:val="32"/>
          <w:lang w:eastAsia="zh-CN"/>
        </w:rPr>
      </w:pPr>
      <w:r>
        <w:rPr>
          <w:rFonts w:hint="eastAsia" w:ascii="CESI黑体-GB2312" w:hAnsi="CESI黑体-GB2312" w:eastAsia="CESI黑体-GB2312" w:cs="CESI黑体-GB2312"/>
          <w:b w:val="0"/>
          <w:bCs w:val="0"/>
          <w:color w:val="auto"/>
          <w:sz w:val="32"/>
          <w:szCs w:val="32"/>
          <w:lang w:eastAsia="zh-CN"/>
        </w:rPr>
        <w:t>三、</w:t>
      </w:r>
      <w:r>
        <w:rPr>
          <w:rFonts w:hint="eastAsia" w:ascii="CESI黑体-GB2312" w:hAnsi="CESI黑体-GB2312" w:eastAsia="CESI黑体-GB2312" w:cs="CESI黑体-GB2312"/>
          <w:b w:val="0"/>
          <w:bCs w:val="0"/>
          <w:color w:val="auto"/>
          <w:sz w:val="32"/>
          <w:szCs w:val="32"/>
        </w:rPr>
        <w:t>收到和处理政府信息公开申请情况</w:t>
      </w:r>
    </w:p>
    <w:tbl>
      <w:tblPr>
        <w:tblStyle w:val="6"/>
        <w:tblW w:w="991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416"/>
        <w:gridCol w:w="1701"/>
        <w:gridCol w:w="2976"/>
        <w:gridCol w:w="829"/>
        <w:gridCol w:w="567"/>
        <w:gridCol w:w="567"/>
        <w:gridCol w:w="731"/>
        <w:gridCol w:w="708"/>
        <w:gridCol w:w="567"/>
        <w:gridCol w:w="85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13" w:hRule="atLeast"/>
          <w:jc w:val="center"/>
        </w:trPr>
        <w:tc>
          <w:tcPr>
            <w:tcW w:w="5093" w:type="dxa"/>
            <w:gridSpan w:val="3"/>
            <w:vMerge w:val="restart"/>
            <w:noWrap w:val="0"/>
            <w:tcMar>
              <w:left w:w="108" w:type="dxa"/>
              <w:right w:w="108" w:type="dxa"/>
            </w:tcMar>
            <w:vAlign w:val="center"/>
          </w:tcPr>
          <w:p>
            <w:pPr>
              <w:widowControl/>
              <w:jc w:val="center"/>
              <w:rPr>
                <w:rFonts w:ascii="楷体_GB2312" w:hAnsi="黑体" w:eastAsia="楷体_GB2312"/>
                <w:kern w:val="0"/>
                <w:szCs w:val="21"/>
              </w:rPr>
            </w:pPr>
            <w:r>
              <w:rPr>
                <w:rFonts w:hint="eastAsia" w:ascii="楷体_GB2312" w:hAnsi="黑体" w:eastAsia="楷体_GB2312"/>
                <w:kern w:val="0"/>
                <w:szCs w:val="21"/>
              </w:rPr>
              <w:t>（本列数据的勾稽关系为：第一项加第二项之和，</w:t>
            </w:r>
          </w:p>
          <w:p>
            <w:pPr>
              <w:widowControl/>
              <w:jc w:val="center"/>
              <w:rPr>
                <w:rFonts w:ascii="仿宋_GB2312" w:hAnsi="Times New Roman" w:eastAsia="仿宋_GB2312"/>
                <w:szCs w:val="21"/>
              </w:rPr>
            </w:pPr>
            <w:r>
              <w:rPr>
                <w:rFonts w:hint="eastAsia" w:ascii="楷体_GB2312" w:hAnsi="黑体" w:eastAsia="楷体_GB2312"/>
                <w:kern w:val="0"/>
                <w:szCs w:val="21"/>
              </w:rPr>
              <w:t>等于第三项加第四项之和）</w:t>
            </w:r>
          </w:p>
        </w:tc>
        <w:tc>
          <w:tcPr>
            <w:tcW w:w="4820" w:type="dxa"/>
            <w:gridSpan w:val="7"/>
            <w:noWrap w:val="0"/>
            <w:tcMar>
              <w:left w:w="108" w:type="dxa"/>
              <w:right w:w="108" w:type="dxa"/>
            </w:tcMar>
            <w:vAlign w:val="center"/>
          </w:tcPr>
          <w:p>
            <w:pPr>
              <w:widowControl/>
              <w:spacing w:line="320" w:lineRule="exact"/>
              <w:jc w:val="center"/>
              <w:rPr>
                <w:rFonts w:ascii="黑体" w:hAnsi="黑体" w:eastAsia="黑体"/>
                <w:szCs w:val="21"/>
              </w:rPr>
            </w:pPr>
            <w:r>
              <w:rPr>
                <w:rFonts w:hint="eastAsia" w:ascii="黑体" w:hAnsi="黑体" w:eastAsia="黑体"/>
                <w:kern w:val="0"/>
                <w:szCs w:val="21"/>
              </w:rPr>
              <w:t>申请人情况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25" w:hRule="atLeast"/>
          <w:jc w:val="center"/>
        </w:trPr>
        <w:tc>
          <w:tcPr>
            <w:tcW w:w="5093" w:type="dxa"/>
            <w:gridSpan w:val="3"/>
            <w:vMerge w:val="continue"/>
            <w:noWrap w:val="0"/>
            <w:tcMar>
              <w:left w:w="108" w:type="dxa"/>
              <w:right w:w="108" w:type="dxa"/>
            </w:tcMar>
            <w:vAlign w:val="center"/>
          </w:tcPr>
          <w:p>
            <w:pPr>
              <w:jc w:val="center"/>
              <w:rPr>
                <w:rFonts w:ascii="仿宋_GB2312" w:hAnsi="Times New Roman" w:eastAsia="仿宋_GB2312"/>
                <w:szCs w:val="21"/>
              </w:rPr>
            </w:pPr>
          </w:p>
        </w:tc>
        <w:tc>
          <w:tcPr>
            <w:tcW w:w="829" w:type="dxa"/>
            <w:vMerge w:val="restart"/>
            <w:noWrap w:val="0"/>
            <w:tcMar>
              <w:left w:w="108" w:type="dxa"/>
              <w:right w:w="108" w:type="dxa"/>
            </w:tcMar>
            <w:vAlign w:val="center"/>
          </w:tcPr>
          <w:p>
            <w:pPr>
              <w:widowControl/>
              <w:jc w:val="center"/>
              <w:rPr>
                <w:rFonts w:ascii="黑体" w:hAnsi="黑体" w:eastAsia="黑体"/>
                <w:szCs w:val="21"/>
              </w:rPr>
            </w:pPr>
            <w:r>
              <w:rPr>
                <w:rFonts w:hint="eastAsia" w:ascii="黑体" w:hAnsi="黑体" w:eastAsia="黑体"/>
                <w:kern w:val="0"/>
                <w:szCs w:val="21"/>
              </w:rPr>
              <w:t>自然人</w:t>
            </w:r>
          </w:p>
        </w:tc>
        <w:tc>
          <w:tcPr>
            <w:tcW w:w="3140" w:type="dxa"/>
            <w:gridSpan w:val="5"/>
            <w:noWrap w:val="0"/>
            <w:tcMar>
              <w:left w:w="108" w:type="dxa"/>
              <w:right w:w="108" w:type="dxa"/>
            </w:tcMar>
            <w:vAlign w:val="center"/>
          </w:tcPr>
          <w:p>
            <w:pPr>
              <w:widowControl/>
              <w:spacing w:line="320" w:lineRule="exact"/>
              <w:jc w:val="center"/>
              <w:rPr>
                <w:rFonts w:ascii="黑体" w:hAnsi="黑体" w:eastAsia="黑体"/>
                <w:szCs w:val="21"/>
              </w:rPr>
            </w:pPr>
            <w:r>
              <w:rPr>
                <w:rFonts w:hint="eastAsia" w:ascii="黑体" w:hAnsi="黑体" w:eastAsia="黑体"/>
                <w:kern w:val="0"/>
                <w:szCs w:val="21"/>
              </w:rPr>
              <w:t>法人或其他组织</w:t>
            </w:r>
          </w:p>
        </w:tc>
        <w:tc>
          <w:tcPr>
            <w:tcW w:w="851" w:type="dxa"/>
            <w:vMerge w:val="restart"/>
            <w:noWrap w:val="0"/>
            <w:tcMar>
              <w:left w:w="108" w:type="dxa"/>
              <w:right w:w="108" w:type="dxa"/>
            </w:tcMar>
            <w:vAlign w:val="center"/>
          </w:tcPr>
          <w:p>
            <w:pPr>
              <w:widowControl/>
              <w:jc w:val="center"/>
              <w:rPr>
                <w:rFonts w:ascii="黑体" w:hAnsi="黑体" w:eastAsia="黑体"/>
                <w:szCs w:val="21"/>
              </w:rPr>
            </w:pPr>
            <w:r>
              <w:rPr>
                <w:rFonts w:hint="eastAsia" w:ascii="黑体" w:hAnsi="黑体" w:eastAsia="黑体"/>
                <w:kern w:val="0"/>
                <w:szCs w:val="21"/>
              </w:rPr>
              <w:t>总计</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2" w:hRule="atLeast"/>
          <w:jc w:val="center"/>
        </w:trPr>
        <w:tc>
          <w:tcPr>
            <w:tcW w:w="5093" w:type="dxa"/>
            <w:gridSpan w:val="3"/>
            <w:vMerge w:val="continue"/>
            <w:noWrap w:val="0"/>
            <w:tcMar>
              <w:left w:w="108" w:type="dxa"/>
              <w:right w:w="108" w:type="dxa"/>
            </w:tcMar>
            <w:vAlign w:val="center"/>
          </w:tcPr>
          <w:p>
            <w:pPr>
              <w:jc w:val="center"/>
              <w:rPr>
                <w:rFonts w:ascii="仿宋_GB2312" w:hAnsi="Times New Roman" w:eastAsia="仿宋_GB2312"/>
                <w:szCs w:val="21"/>
              </w:rPr>
            </w:pPr>
          </w:p>
        </w:tc>
        <w:tc>
          <w:tcPr>
            <w:tcW w:w="829" w:type="dxa"/>
            <w:vMerge w:val="continue"/>
            <w:noWrap w:val="0"/>
            <w:tcMar>
              <w:left w:w="108" w:type="dxa"/>
              <w:right w:w="108" w:type="dxa"/>
            </w:tcMar>
            <w:vAlign w:val="center"/>
          </w:tcPr>
          <w:p>
            <w:pPr>
              <w:jc w:val="center"/>
              <w:rPr>
                <w:rFonts w:ascii="黑体" w:hAnsi="黑体" w:eastAsia="黑体"/>
                <w:szCs w:val="21"/>
              </w:rPr>
            </w:pPr>
          </w:p>
        </w:tc>
        <w:tc>
          <w:tcPr>
            <w:tcW w:w="567" w:type="dxa"/>
            <w:noWrap w:val="0"/>
            <w:tcMar>
              <w:left w:w="108" w:type="dxa"/>
              <w:right w:w="108" w:type="dxa"/>
            </w:tcMar>
            <w:vAlign w:val="center"/>
          </w:tcPr>
          <w:p>
            <w:pPr>
              <w:widowControl/>
              <w:spacing w:line="320" w:lineRule="exact"/>
              <w:ind w:left="-106" w:leftChars="-51" w:right="-107" w:rightChars="-51" w:hanging="1"/>
              <w:jc w:val="center"/>
              <w:rPr>
                <w:rFonts w:ascii="黑体" w:hAnsi="黑体" w:eastAsia="黑体"/>
                <w:szCs w:val="21"/>
              </w:rPr>
            </w:pPr>
            <w:r>
              <w:rPr>
                <w:rFonts w:hint="eastAsia" w:ascii="黑体" w:hAnsi="黑体" w:eastAsia="黑体"/>
                <w:kern w:val="0"/>
                <w:szCs w:val="21"/>
              </w:rPr>
              <w:t>商业企业</w:t>
            </w:r>
          </w:p>
        </w:tc>
        <w:tc>
          <w:tcPr>
            <w:tcW w:w="567" w:type="dxa"/>
            <w:noWrap w:val="0"/>
            <w:tcMar>
              <w:left w:w="108" w:type="dxa"/>
              <w:right w:w="108" w:type="dxa"/>
            </w:tcMar>
            <w:vAlign w:val="center"/>
          </w:tcPr>
          <w:p>
            <w:pPr>
              <w:widowControl/>
              <w:spacing w:line="320" w:lineRule="exact"/>
              <w:ind w:left="-107" w:leftChars="-51" w:right="-107" w:rightChars="-51"/>
              <w:jc w:val="center"/>
              <w:rPr>
                <w:rFonts w:ascii="黑体" w:hAnsi="黑体" w:eastAsia="黑体"/>
                <w:szCs w:val="21"/>
              </w:rPr>
            </w:pPr>
            <w:r>
              <w:rPr>
                <w:rFonts w:hint="eastAsia" w:ascii="黑体" w:hAnsi="黑体" w:eastAsia="黑体"/>
                <w:kern w:val="0"/>
                <w:szCs w:val="21"/>
              </w:rPr>
              <w:t>科研机构</w:t>
            </w:r>
          </w:p>
        </w:tc>
        <w:tc>
          <w:tcPr>
            <w:tcW w:w="731" w:type="dxa"/>
            <w:noWrap w:val="0"/>
            <w:tcMar>
              <w:left w:w="108" w:type="dxa"/>
              <w:right w:w="108" w:type="dxa"/>
            </w:tcMar>
            <w:vAlign w:val="center"/>
          </w:tcPr>
          <w:p>
            <w:pPr>
              <w:widowControl/>
              <w:spacing w:line="320" w:lineRule="exact"/>
              <w:ind w:left="-107" w:leftChars="-51" w:right="-107" w:rightChars="-51"/>
              <w:jc w:val="center"/>
              <w:rPr>
                <w:rFonts w:ascii="黑体" w:hAnsi="黑体" w:eastAsia="黑体"/>
                <w:szCs w:val="21"/>
              </w:rPr>
            </w:pPr>
            <w:r>
              <w:rPr>
                <w:rFonts w:hint="eastAsia" w:ascii="黑体" w:hAnsi="黑体" w:eastAsia="黑体"/>
                <w:kern w:val="0"/>
                <w:szCs w:val="21"/>
              </w:rPr>
              <w:t>社会公益组织</w:t>
            </w:r>
          </w:p>
        </w:tc>
        <w:tc>
          <w:tcPr>
            <w:tcW w:w="708" w:type="dxa"/>
            <w:noWrap w:val="0"/>
            <w:tcMar>
              <w:left w:w="108" w:type="dxa"/>
              <w:right w:w="108" w:type="dxa"/>
            </w:tcMar>
            <w:vAlign w:val="center"/>
          </w:tcPr>
          <w:p>
            <w:pPr>
              <w:widowControl/>
              <w:spacing w:line="320" w:lineRule="exact"/>
              <w:ind w:left="-106" w:leftChars="-51" w:right="-107" w:rightChars="-51" w:hanging="1"/>
              <w:jc w:val="center"/>
              <w:rPr>
                <w:rFonts w:ascii="黑体" w:hAnsi="黑体" w:eastAsia="黑体"/>
                <w:szCs w:val="21"/>
              </w:rPr>
            </w:pPr>
            <w:r>
              <w:rPr>
                <w:rFonts w:hint="eastAsia" w:ascii="黑体" w:hAnsi="黑体" w:eastAsia="黑体"/>
                <w:kern w:val="0"/>
                <w:szCs w:val="21"/>
              </w:rPr>
              <w:t>法律服务机构</w:t>
            </w:r>
          </w:p>
        </w:tc>
        <w:tc>
          <w:tcPr>
            <w:tcW w:w="567" w:type="dxa"/>
            <w:noWrap w:val="0"/>
            <w:tcMar>
              <w:left w:w="108" w:type="dxa"/>
              <w:right w:w="108" w:type="dxa"/>
            </w:tcMar>
            <w:vAlign w:val="center"/>
          </w:tcPr>
          <w:p>
            <w:pPr>
              <w:widowControl/>
              <w:spacing w:line="360" w:lineRule="exact"/>
              <w:ind w:left="-63" w:leftChars="-30" w:right="-134" w:rightChars="-64"/>
              <w:jc w:val="center"/>
              <w:rPr>
                <w:rFonts w:ascii="黑体" w:hAnsi="黑体" w:eastAsia="黑体"/>
                <w:szCs w:val="21"/>
              </w:rPr>
            </w:pPr>
            <w:r>
              <w:rPr>
                <w:rFonts w:hint="eastAsia" w:ascii="黑体" w:hAnsi="黑体" w:eastAsia="黑体"/>
                <w:kern w:val="0"/>
                <w:szCs w:val="21"/>
              </w:rPr>
              <w:t>其他</w:t>
            </w:r>
          </w:p>
        </w:tc>
        <w:tc>
          <w:tcPr>
            <w:tcW w:w="851" w:type="dxa"/>
            <w:vMerge w:val="continue"/>
            <w:noWrap w:val="0"/>
            <w:tcMar>
              <w:left w:w="108" w:type="dxa"/>
              <w:right w:w="108" w:type="dxa"/>
            </w:tcMar>
            <w:vAlign w:val="center"/>
          </w:tcPr>
          <w:p>
            <w:pPr>
              <w:jc w:val="center"/>
              <w:rPr>
                <w:rFonts w:ascii="仿宋_GB2312" w:hAnsi="Times New Roman" w:eastAsia="仿宋_GB2312"/>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5093" w:type="dxa"/>
            <w:gridSpan w:val="3"/>
            <w:noWrap w:val="0"/>
            <w:tcMar>
              <w:left w:w="108" w:type="dxa"/>
              <w:right w:w="108" w:type="dxa"/>
            </w:tcMar>
            <w:vAlign w:val="center"/>
          </w:tcPr>
          <w:p>
            <w:pPr>
              <w:widowControl/>
              <w:rPr>
                <w:rFonts w:ascii="黑体" w:hAnsi="黑体" w:eastAsia="黑体"/>
                <w:szCs w:val="21"/>
              </w:rPr>
            </w:pPr>
            <w:r>
              <w:rPr>
                <w:rFonts w:hint="eastAsia" w:ascii="黑体" w:hAnsi="黑体" w:eastAsia="黑体"/>
                <w:kern w:val="0"/>
                <w:szCs w:val="21"/>
              </w:rPr>
              <w:t>一、</w:t>
            </w:r>
            <w:bookmarkStart w:id="1" w:name="_Hlk66973412"/>
            <w:r>
              <w:rPr>
                <w:rFonts w:hint="eastAsia" w:ascii="黑体" w:hAnsi="黑体" w:eastAsia="黑体"/>
                <w:kern w:val="0"/>
                <w:szCs w:val="21"/>
              </w:rPr>
              <w:t>本年新收政府信息公开申请数量</w:t>
            </w:r>
            <w:bookmarkEnd w:id="1"/>
          </w:p>
        </w:tc>
        <w:tc>
          <w:tcPr>
            <w:tcW w:w="829" w:type="dxa"/>
            <w:noWrap w:val="0"/>
            <w:tcMar>
              <w:left w:w="108" w:type="dxa"/>
              <w:right w:w="108" w:type="dxa"/>
            </w:tcMar>
            <w:vAlign w:val="center"/>
          </w:tcPr>
          <w:p>
            <w:pPr>
              <w:widowControl/>
              <w:spacing w:after="180"/>
              <w:jc w:val="center"/>
              <w:rPr>
                <w:rFonts w:hint="default" w:ascii="仿宋_GB2312" w:hAnsi="Times New Roman" w:eastAsia="仿宋_GB2312"/>
                <w:szCs w:val="21"/>
                <w:lang w:val="en-US" w:eastAsia="zh-CN"/>
              </w:rPr>
            </w:pPr>
            <w:r>
              <w:rPr>
                <w:rFonts w:hint="eastAsia" w:ascii="仿宋_GB2312" w:hAnsi="Times New Roman" w:eastAsia="仿宋_GB2312"/>
                <w:szCs w:val="21"/>
                <w:lang w:val="en-US" w:eastAsia="zh-CN"/>
              </w:rPr>
              <w:t>13</w:t>
            </w:r>
          </w:p>
        </w:tc>
        <w:tc>
          <w:tcPr>
            <w:tcW w:w="567" w:type="dxa"/>
            <w:noWrap w:val="0"/>
            <w:tcMar>
              <w:left w:w="108" w:type="dxa"/>
              <w:right w:w="108" w:type="dxa"/>
            </w:tcMar>
            <w:vAlign w:val="center"/>
          </w:tcPr>
          <w:p>
            <w:pPr>
              <w:widowControl/>
              <w:spacing w:after="180"/>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731" w:type="dxa"/>
            <w:noWrap w:val="0"/>
            <w:tcMar>
              <w:left w:w="108" w:type="dxa"/>
              <w:right w:w="108" w:type="dxa"/>
            </w:tcMar>
            <w:vAlign w:val="center"/>
          </w:tcPr>
          <w:p>
            <w:pPr>
              <w:widowControl/>
              <w:spacing w:after="180"/>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708" w:type="dxa"/>
            <w:noWrap w:val="0"/>
            <w:tcMar>
              <w:left w:w="108" w:type="dxa"/>
              <w:right w:w="108" w:type="dxa"/>
            </w:tcMar>
            <w:vAlign w:val="center"/>
          </w:tcPr>
          <w:p>
            <w:pPr>
              <w:widowControl/>
              <w:spacing w:after="180"/>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851" w:type="dxa"/>
            <w:noWrap w:val="0"/>
            <w:tcMar>
              <w:left w:w="108" w:type="dxa"/>
              <w:right w:w="108" w:type="dxa"/>
            </w:tcMar>
            <w:vAlign w:val="center"/>
          </w:tcPr>
          <w:p>
            <w:pPr>
              <w:widowControl/>
              <w:spacing w:after="180"/>
              <w:jc w:val="center"/>
              <w:rPr>
                <w:rFonts w:hint="default" w:ascii="仿宋_GB2312" w:hAnsi="Times New Roman" w:eastAsia="仿宋_GB2312"/>
                <w:szCs w:val="21"/>
                <w:lang w:val="en-US" w:eastAsia="zh-CN"/>
              </w:rPr>
            </w:pPr>
            <w:r>
              <w:rPr>
                <w:rFonts w:hint="eastAsia" w:ascii="仿宋_GB2312" w:hAnsi="Times New Roman" w:eastAsia="仿宋_GB2312"/>
                <w:szCs w:val="21"/>
                <w:lang w:val="en-US" w:eastAsia="zh-CN"/>
              </w:rPr>
              <w:t>13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5093" w:type="dxa"/>
            <w:gridSpan w:val="3"/>
            <w:noWrap w:val="0"/>
            <w:tcMar>
              <w:left w:w="108" w:type="dxa"/>
              <w:right w:w="108" w:type="dxa"/>
            </w:tcMar>
            <w:vAlign w:val="center"/>
          </w:tcPr>
          <w:p>
            <w:pPr>
              <w:widowControl/>
              <w:rPr>
                <w:rFonts w:ascii="黑体" w:hAnsi="黑体" w:eastAsia="黑体"/>
                <w:szCs w:val="21"/>
              </w:rPr>
            </w:pPr>
            <w:r>
              <w:rPr>
                <w:rFonts w:hint="eastAsia" w:ascii="黑体" w:hAnsi="黑体" w:eastAsia="黑体"/>
                <w:kern w:val="0"/>
                <w:szCs w:val="21"/>
              </w:rPr>
              <w:t>二、上年结转政府信息公开申请数量</w:t>
            </w:r>
          </w:p>
        </w:tc>
        <w:tc>
          <w:tcPr>
            <w:tcW w:w="829" w:type="dxa"/>
            <w:noWrap w:val="0"/>
            <w:tcMar>
              <w:left w:w="108" w:type="dxa"/>
              <w:right w:w="108" w:type="dxa"/>
            </w:tcMar>
            <w:vAlign w:val="center"/>
          </w:tcPr>
          <w:p>
            <w:pPr>
              <w:widowControl/>
              <w:spacing w:after="180"/>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731" w:type="dxa"/>
            <w:noWrap w:val="0"/>
            <w:tcMar>
              <w:left w:w="108" w:type="dxa"/>
              <w:right w:w="108" w:type="dxa"/>
            </w:tcMar>
            <w:vAlign w:val="center"/>
          </w:tcPr>
          <w:p>
            <w:pPr>
              <w:widowControl/>
              <w:spacing w:after="180"/>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708" w:type="dxa"/>
            <w:noWrap w:val="0"/>
            <w:tcMar>
              <w:left w:w="108" w:type="dxa"/>
              <w:right w:w="108" w:type="dxa"/>
            </w:tcMar>
            <w:vAlign w:val="center"/>
          </w:tcPr>
          <w:p>
            <w:pPr>
              <w:widowControl/>
              <w:spacing w:after="180"/>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851" w:type="dxa"/>
            <w:noWrap w:val="0"/>
            <w:tcMar>
              <w:left w:w="108" w:type="dxa"/>
              <w:right w:w="108" w:type="dxa"/>
            </w:tcMar>
            <w:vAlign w:val="center"/>
          </w:tcPr>
          <w:p>
            <w:pPr>
              <w:widowControl/>
              <w:spacing w:after="180"/>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16" w:type="dxa"/>
            <w:vMerge w:val="restart"/>
            <w:noWrap w:val="0"/>
            <w:tcMar>
              <w:left w:w="108" w:type="dxa"/>
              <w:right w:w="108" w:type="dxa"/>
            </w:tcMar>
            <w:vAlign w:val="center"/>
          </w:tcPr>
          <w:p>
            <w:pPr>
              <w:widowControl/>
              <w:spacing w:after="180"/>
              <w:rPr>
                <w:rFonts w:ascii="黑体" w:hAnsi="黑体" w:eastAsia="黑体"/>
                <w:szCs w:val="21"/>
              </w:rPr>
            </w:pPr>
            <w:r>
              <w:rPr>
                <w:rFonts w:hint="eastAsia" w:ascii="黑体" w:hAnsi="黑体" w:eastAsia="黑体"/>
                <w:kern w:val="0"/>
                <w:szCs w:val="21"/>
              </w:rPr>
              <w:t>三、本年度办理结果</w:t>
            </w:r>
          </w:p>
        </w:tc>
        <w:tc>
          <w:tcPr>
            <w:tcW w:w="4677" w:type="dxa"/>
            <w:gridSpan w:val="2"/>
            <w:noWrap w:val="0"/>
            <w:tcMar>
              <w:left w:w="108" w:type="dxa"/>
              <w:right w:w="108" w:type="dxa"/>
            </w:tcMar>
            <w:vAlign w:val="center"/>
          </w:tcPr>
          <w:p>
            <w:pPr>
              <w:widowControl/>
              <w:rPr>
                <w:rFonts w:ascii="黑体" w:hAnsi="黑体" w:eastAsia="黑体"/>
                <w:szCs w:val="21"/>
              </w:rPr>
            </w:pPr>
            <w:r>
              <w:rPr>
                <w:rFonts w:hint="eastAsia" w:ascii="黑体" w:hAnsi="黑体" w:eastAsia="黑体"/>
                <w:kern w:val="0"/>
                <w:szCs w:val="21"/>
              </w:rPr>
              <w:t>（一）予以公开</w:t>
            </w:r>
          </w:p>
        </w:tc>
        <w:tc>
          <w:tcPr>
            <w:tcW w:w="829" w:type="dxa"/>
            <w:noWrap w:val="0"/>
            <w:tcMar>
              <w:left w:w="108" w:type="dxa"/>
              <w:right w:w="108" w:type="dxa"/>
            </w:tcMar>
            <w:vAlign w:val="center"/>
          </w:tcPr>
          <w:p>
            <w:pPr>
              <w:widowControl/>
              <w:spacing w:after="180"/>
              <w:jc w:val="center"/>
              <w:rPr>
                <w:rFonts w:hint="default" w:ascii="仿宋_GB2312" w:hAnsi="Times New Roman" w:eastAsia="仿宋_GB2312"/>
                <w:b w:val="0"/>
                <w:bCs w:val="0"/>
                <w:color w:val="auto"/>
                <w:szCs w:val="21"/>
                <w:lang w:val="en-US" w:eastAsia="zh-CN"/>
              </w:rPr>
            </w:pPr>
            <w:r>
              <w:rPr>
                <w:rFonts w:hint="eastAsia" w:ascii="仿宋_GB2312" w:hAnsi="Times New Roman" w:eastAsia="仿宋_GB2312"/>
                <w:b w:val="0"/>
                <w:bCs w:val="0"/>
                <w:color w:val="auto"/>
                <w:szCs w:val="21"/>
                <w:lang w:val="en-US" w:eastAsia="zh-CN"/>
              </w:rPr>
              <w:t>3</w:t>
            </w:r>
          </w:p>
        </w:tc>
        <w:tc>
          <w:tcPr>
            <w:tcW w:w="567" w:type="dxa"/>
            <w:noWrap w:val="0"/>
            <w:tcMar>
              <w:left w:w="108" w:type="dxa"/>
              <w:right w:w="108" w:type="dxa"/>
            </w:tcMar>
            <w:vAlign w:val="center"/>
          </w:tcPr>
          <w:p>
            <w:pPr>
              <w:widowControl/>
              <w:spacing w:after="180"/>
              <w:jc w:val="center"/>
              <w:rPr>
                <w:rFonts w:hint="eastAsia" w:ascii="仿宋_GB2312" w:hAnsi="Times New Roman" w:eastAsia="仿宋_GB2312" w:cs="Times New Roman"/>
                <w:b w:val="0"/>
                <w:bCs w:val="0"/>
                <w:color w:val="auto"/>
                <w:kern w:val="2"/>
                <w:sz w:val="21"/>
                <w:szCs w:val="21"/>
                <w:lang w:val="en-US" w:eastAsia="zh-CN" w:bidi="ar-SA"/>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hint="eastAsia" w:ascii="仿宋_GB2312" w:hAnsi="Times New Roman" w:eastAsia="仿宋_GB2312" w:cs="Times New Roman"/>
                <w:b w:val="0"/>
                <w:bCs w:val="0"/>
                <w:color w:val="auto"/>
                <w:kern w:val="2"/>
                <w:sz w:val="21"/>
                <w:szCs w:val="21"/>
                <w:lang w:val="en-US" w:eastAsia="zh-CN" w:bidi="ar-SA"/>
              </w:rPr>
            </w:pPr>
            <w:r>
              <w:rPr>
                <w:rFonts w:hint="eastAsia" w:ascii="仿宋_GB2312" w:hAnsi="Times New Roman" w:eastAsia="仿宋_GB2312"/>
                <w:b w:val="0"/>
                <w:bCs w:val="0"/>
                <w:color w:val="auto"/>
                <w:szCs w:val="21"/>
                <w:lang w:val="en-US" w:eastAsia="zh-CN"/>
              </w:rPr>
              <w:t>0</w:t>
            </w:r>
          </w:p>
        </w:tc>
        <w:tc>
          <w:tcPr>
            <w:tcW w:w="731" w:type="dxa"/>
            <w:noWrap w:val="0"/>
            <w:tcMar>
              <w:left w:w="108" w:type="dxa"/>
              <w:right w:w="108" w:type="dxa"/>
            </w:tcMar>
            <w:vAlign w:val="center"/>
          </w:tcPr>
          <w:p>
            <w:pPr>
              <w:widowControl/>
              <w:spacing w:after="180"/>
              <w:jc w:val="center"/>
              <w:rPr>
                <w:rFonts w:hint="eastAsia" w:ascii="仿宋_GB2312" w:hAnsi="Times New Roman" w:eastAsia="仿宋_GB2312" w:cs="Times New Roman"/>
                <w:b w:val="0"/>
                <w:bCs w:val="0"/>
                <w:color w:val="auto"/>
                <w:kern w:val="2"/>
                <w:sz w:val="21"/>
                <w:szCs w:val="21"/>
                <w:lang w:val="en-US" w:eastAsia="zh-CN" w:bidi="ar-SA"/>
              </w:rPr>
            </w:pPr>
            <w:r>
              <w:rPr>
                <w:rFonts w:hint="eastAsia" w:ascii="仿宋_GB2312" w:hAnsi="Times New Roman" w:eastAsia="仿宋_GB2312"/>
                <w:b w:val="0"/>
                <w:bCs w:val="0"/>
                <w:color w:val="auto"/>
                <w:szCs w:val="21"/>
                <w:lang w:val="en-US" w:eastAsia="zh-CN"/>
              </w:rPr>
              <w:t>0</w:t>
            </w:r>
          </w:p>
        </w:tc>
        <w:tc>
          <w:tcPr>
            <w:tcW w:w="708" w:type="dxa"/>
            <w:noWrap w:val="0"/>
            <w:tcMar>
              <w:left w:w="108" w:type="dxa"/>
              <w:right w:w="108" w:type="dxa"/>
            </w:tcMar>
            <w:vAlign w:val="center"/>
          </w:tcPr>
          <w:p>
            <w:pPr>
              <w:widowControl/>
              <w:spacing w:after="180"/>
              <w:jc w:val="center"/>
              <w:rPr>
                <w:rFonts w:hint="eastAsia" w:ascii="仿宋_GB2312" w:hAnsi="Times New Roman" w:eastAsia="仿宋_GB2312" w:cs="Times New Roman"/>
                <w:b w:val="0"/>
                <w:bCs w:val="0"/>
                <w:color w:val="auto"/>
                <w:kern w:val="2"/>
                <w:sz w:val="21"/>
                <w:szCs w:val="21"/>
                <w:lang w:val="en-US" w:eastAsia="zh-CN" w:bidi="ar-SA"/>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hint="eastAsia" w:ascii="仿宋_GB2312" w:hAnsi="Times New Roman" w:eastAsia="仿宋_GB2312" w:cs="Times New Roman"/>
                <w:b w:val="0"/>
                <w:bCs w:val="0"/>
                <w:color w:val="auto"/>
                <w:kern w:val="2"/>
                <w:sz w:val="21"/>
                <w:szCs w:val="21"/>
                <w:lang w:val="en-US" w:eastAsia="zh-CN" w:bidi="ar-SA"/>
              </w:rPr>
            </w:pPr>
            <w:r>
              <w:rPr>
                <w:rFonts w:hint="eastAsia" w:ascii="仿宋_GB2312" w:hAnsi="Times New Roman" w:eastAsia="仿宋_GB2312"/>
                <w:b w:val="0"/>
                <w:bCs w:val="0"/>
                <w:color w:val="auto"/>
                <w:szCs w:val="21"/>
                <w:lang w:val="en-US" w:eastAsia="zh-CN"/>
              </w:rPr>
              <w:t>0</w:t>
            </w:r>
          </w:p>
        </w:tc>
        <w:tc>
          <w:tcPr>
            <w:tcW w:w="851" w:type="dxa"/>
            <w:noWrap w:val="0"/>
            <w:tcMar>
              <w:left w:w="108" w:type="dxa"/>
              <w:right w:w="108" w:type="dxa"/>
            </w:tcMar>
            <w:vAlign w:val="center"/>
          </w:tcPr>
          <w:p>
            <w:pPr>
              <w:widowControl/>
              <w:spacing w:after="180"/>
              <w:jc w:val="center"/>
              <w:rPr>
                <w:rFonts w:hint="default" w:ascii="仿宋_GB2312" w:hAnsi="Times New Roman" w:eastAsia="仿宋_GB2312"/>
                <w:b w:val="0"/>
                <w:bCs w:val="0"/>
                <w:color w:val="auto"/>
                <w:szCs w:val="21"/>
                <w:lang w:val="en-US" w:eastAsia="zh-CN"/>
              </w:rPr>
            </w:pPr>
            <w:r>
              <w:rPr>
                <w:rFonts w:hint="eastAsia" w:ascii="仿宋_GB2312" w:hAnsi="Times New Roman" w:eastAsia="仿宋_GB2312"/>
                <w:b w:val="0"/>
                <w:bCs w:val="0"/>
                <w:color w:val="auto"/>
                <w:szCs w:val="21"/>
                <w:lang w:val="en-US" w:eastAsia="zh-CN"/>
              </w:rPr>
              <w:t>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16" w:type="dxa"/>
            <w:vMerge w:val="continue"/>
            <w:noWrap w:val="0"/>
            <w:tcMar>
              <w:left w:w="108" w:type="dxa"/>
              <w:right w:w="108" w:type="dxa"/>
            </w:tcMar>
            <w:vAlign w:val="center"/>
          </w:tcPr>
          <w:p>
            <w:pPr>
              <w:rPr>
                <w:rFonts w:ascii="黑体" w:hAnsi="黑体" w:eastAsia="黑体"/>
                <w:szCs w:val="21"/>
              </w:rPr>
            </w:pPr>
          </w:p>
        </w:tc>
        <w:tc>
          <w:tcPr>
            <w:tcW w:w="4677" w:type="dxa"/>
            <w:gridSpan w:val="2"/>
            <w:noWrap w:val="0"/>
            <w:tcMar>
              <w:left w:w="108" w:type="dxa"/>
              <w:right w:w="108" w:type="dxa"/>
            </w:tcMar>
            <w:vAlign w:val="center"/>
          </w:tcPr>
          <w:p>
            <w:pPr>
              <w:widowControl/>
              <w:rPr>
                <w:rFonts w:ascii="黑体" w:hAnsi="黑体" w:eastAsia="黑体"/>
                <w:szCs w:val="21"/>
              </w:rPr>
            </w:pPr>
            <w:r>
              <w:rPr>
                <w:rFonts w:hint="eastAsia" w:ascii="黑体" w:hAnsi="黑体" w:eastAsia="黑体"/>
                <w:kern w:val="0"/>
                <w:szCs w:val="21"/>
              </w:rPr>
              <w:t>（二）部分公开（</w:t>
            </w:r>
            <w:bookmarkStart w:id="2" w:name="_Hlk66973981"/>
            <w:r>
              <w:rPr>
                <w:rFonts w:hint="eastAsia" w:ascii="黑体" w:hAnsi="黑体" w:eastAsia="黑体"/>
                <w:kern w:val="0"/>
                <w:szCs w:val="21"/>
              </w:rPr>
              <w:t>区分处理的，只计这一情形，不计其他情形</w:t>
            </w:r>
            <w:bookmarkEnd w:id="2"/>
            <w:r>
              <w:rPr>
                <w:rFonts w:hint="eastAsia" w:ascii="黑体" w:hAnsi="黑体" w:eastAsia="黑体"/>
                <w:kern w:val="0"/>
                <w:szCs w:val="21"/>
              </w:rPr>
              <w:t>）</w:t>
            </w:r>
          </w:p>
        </w:tc>
        <w:tc>
          <w:tcPr>
            <w:tcW w:w="829" w:type="dxa"/>
            <w:noWrap w:val="0"/>
            <w:tcMar>
              <w:left w:w="108" w:type="dxa"/>
              <w:right w:w="108" w:type="dxa"/>
            </w:tcMar>
            <w:vAlign w:val="center"/>
          </w:tcPr>
          <w:p>
            <w:pPr>
              <w:widowControl/>
              <w:spacing w:after="180"/>
              <w:jc w:val="center"/>
              <w:rPr>
                <w:rFonts w:hint="eastAsia" w:ascii="仿宋_GB2312" w:hAnsi="Times New Roman" w:eastAsia="仿宋_GB2312"/>
                <w:b w:val="0"/>
                <w:bCs w:val="0"/>
                <w:color w:val="auto"/>
                <w:szCs w:val="21"/>
                <w:lang w:val="en-US" w:eastAsia="zh-CN"/>
              </w:rPr>
            </w:pPr>
            <w:r>
              <w:rPr>
                <w:rFonts w:hint="eastAsia" w:ascii="仿宋_GB2312" w:hAnsi="Times New Roman" w:eastAsia="仿宋_GB2312"/>
                <w:b w:val="0"/>
                <w:bCs w:val="0"/>
                <w:color w:val="auto"/>
                <w:szCs w:val="21"/>
                <w:lang w:val="en-US" w:eastAsia="zh-CN"/>
              </w:rPr>
              <w:t>4</w:t>
            </w:r>
          </w:p>
        </w:tc>
        <w:tc>
          <w:tcPr>
            <w:tcW w:w="567" w:type="dxa"/>
            <w:noWrap w:val="0"/>
            <w:tcMar>
              <w:left w:w="108" w:type="dxa"/>
              <w:right w:w="108" w:type="dxa"/>
            </w:tcMar>
            <w:vAlign w:val="center"/>
          </w:tcPr>
          <w:p>
            <w:pPr>
              <w:widowControl/>
              <w:spacing w:after="180"/>
              <w:jc w:val="center"/>
              <w:rPr>
                <w:rFonts w:hint="eastAsia" w:ascii="仿宋_GB2312" w:hAnsi="Times New Roman" w:eastAsia="仿宋_GB2312" w:cs="Times New Roman"/>
                <w:b w:val="0"/>
                <w:bCs w:val="0"/>
                <w:color w:val="auto"/>
                <w:kern w:val="2"/>
                <w:sz w:val="21"/>
                <w:szCs w:val="21"/>
                <w:lang w:val="en-US" w:eastAsia="zh-CN" w:bidi="ar-SA"/>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hint="eastAsia" w:ascii="仿宋_GB2312" w:hAnsi="Times New Roman" w:eastAsia="仿宋_GB2312" w:cs="Times New Roman"/>
                <w:b w:val="0"/>
                <w:bCs w:val="0"/>
                <w:color w:val="auto"/>
                <w:kern w:val="2"/>
                <w:sz w:val="21"/>
                <w:szCs w:val="21"/>
                <w:lang w:val="en-US" w:eastAsia="zh-CN" w:bidi="ar-SA"/>
              </w:rPr>
            </w:pPr>
            <w:r>
              <w:rPr>
                <w:rFonts w:hint="eastAsia" w:ascii="仿宋_GB2312" w:hAnsi="Times New Roman" w:eastAsia="仿宋_GB2312"/>
                <w:b w:val="0"/>
                <w:bCs w:val="0"/>
                <w:color w:val="auto"/>
                <w:szCs w:val="21"/>
                <w:lang w:val="en-US" w:eastAsia="zh-CN"/>
              </w:rPr>
              <w:t>0</w:t>
            </w:r>
          </w:p>
        </w:tc>
        <w:tc>
          <w:tcPr>
            <w:tcW w:w="731" w:type="dxa"/>
            <w:noWrap w:val="0"/>
            <w:tcMar>
              <w:left w:w="108" w:type="dxa"/>
              <w:right w:w="108" w:type="dxa"/>
            </w:tcMar>
            <w:vAlign w:val="center"/>
          </w:tcPr>
          <w:p>
            <w:pPr>
              <w:widowControl/>
              <w:spacing w:after="180"/>
              <w:jc w:val="center"/>
              <w:rPr>
                <w:rFonts w:hint="eastAsia" w:ascii="仿宋_GB2312" w:hAnsi="Times New Roman" w:eastAsia="仿宋_GB2312" w:cs="Times New Roman"/>
                <w:b w:val="0"/>
                <w:bCs w:val="0"/>
                <w:color w:val="auto"/>
                <w:kern w:val="2"/>
                <w:sz w:val="21"/>
                <w:szCs w:val="21"/>
                <w:lang w:val="en-US" w:eastAsia="zh-CN" w:bidi="ar-SA"/>
              </w:rPr>
            </w:pPr>
            <w:r>
              <w:rPr>
                <w:rFonts w:hint="eastAsia" w:ascii="仿宋_GB2312" w:hAnsi="Times New Roman" w:eastAsia="仿宋_GB2312"/>
                <w:b w:val="0"/>
                <w:bCs w:val="0"/>
                <w:color w:val="auto"/>
                <w:szCs w:val="21"/>
                <w:lang w:val="en-US" w:eastAsia="zh-CN"/>
              </w:rPr>
              <w:t>0</w:t>
            </w:r>
          </w:p>
        </w:tc>
        <w:tc>
          <w:tcPr>
            <w:tcW w:w="708" w:type="dxa"/>
            <w:noWrap w:val="0"/>
            <w:tcMar>
              <w:left w:w="108" w:type="dxa"/>
              <w:right w:w="108" w:type="dxa"/>
            </w:tcMar>
            <w:vAlign w:val="center"/>
          </w:tcPr>
          <w:p>
            <w:pPr>
              <w:widowControl/>
              <w:spacing w:after="180"/>
              <w:jc w:val="center"/>
              <w:rPr>
                <w:rFonts w:hint="eastAsia" w:ascii="仿宋_GB2312" w:hAnsi="Times New Roman" w:eastAsia="仿宋_GB2312" w:cs="Times New Roman"/>
                <w:b w:val="0"/>
                <w:bCs w:val="0"/>
                <w:color w:val="auto"/>
                <w:kern w:val="2"/>
                <w:sz w:val="21"/>
                <w:szCs w:val="21"/>
                <w:lang w:val="en-US" w:eastAsia="zh-CN" w:bidi="ar-SA"/>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hint="eastAsia" w:ascii="仿宋_GB2312" w:hAnsi="Times New Roman" w:eastAsia="仿宋_GB2312" w:cs="Times New Roman"/>
                <w:b w:val="0"/>
                <w:bCs w:val="0"/>
                <w:color w:val="auto"/>
                <w:kern w:val="2"/>
                <w:sz w:val="21"/>
                <w:szCs w:val="21"/>
                <w:lang w:val="en-US" w:eastAsia="zh-CN" w:bidi="ar-SA"/>
              </w:rPr>
            </w:pPr>
            <w:r>
              <w:rPr>
                <w:rFonts w:hint="eastAsia" w:ascii="仿宋_GB2312" w:hAnsi="Times New Roman" w:eastAsia="仿宋_GB2312"/>
                <w:b w:val="0"/>
                <w:bCs w:val="0"/>
                <w:color w:val="auto"/>
                <w:szCs w:val="21"/>
                <w:lang w:val="en-US" w:eastAsia="zh-CN"/>
              </w:rPr>
              <w:t>0</w:t>
            </w:r>
          </w:p>
        </w:tc>
        <w:tc>
          <w:tcPr>
            <w:tcW w:w="851" w:type="dxa"/>
            <w:noWrap w:val="0"/>
            <w:tcMar>
              <w:left w:w="108" w:type="dxa"/>
              <w:right w:w="108" w:type="dxa"/>
            </w:tcMar>
            <w:vAlign w:val="center"/>
          </w:tcPr>
          <w:p>
            <w:pPr>
              <w:widowControl/>
              <w:spacing w:after="180"/>
              <w:jc w:val="center"/>
              <w:rPr>
                <w:rFonts w:hint="eastAsia" w:ascii="仿宋_GB2312" w:hAnsi="Times New Roman" w:eastAsia="仿宋_GB2312"/>
                <w:b w:val="0"/>
                <w:bCs w:val="0"/>
                <w:color w:val="auto"/>
                <w:szCs w:val="21"/>
                <w:lang w:val="en-US" w:eastAsia="zh-CN"/>
              </w:rPr>
            </w:pPr>
            <w:r>
              <w:rPr>
                <w:rFonts w:hint="eastAsia" w:ascii="仿宋_GB2312" w:hAnsi="Times New Roman" w:eastAsia="仿宋_GB2312"/>
                <w:b w:val="0"/>
                <w:bCs w:val="0"/>
                <w:color w:val="auto"/>
                <w:szCs w:val="21"/>
                <w:lang w:val="en-US" w:eastAsia="zh-CN"/>
              </w:rPr>
              <w:t>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16" w:type="dxa"/>
            <w:vMerge w:val="continue"/>
            <w:noWrap w:val="0"/>
            <w:tcMar>
              <w:left w:w="108" w:type="dxa"/>
              <w:right w:w="108" w:type="dxa"/>
            </w:tcMar>
            <w:vAlign w:val="center"/>
          </w:tcPr>
          <w:p>
            <w:pPr>
              <w:rPr>
                <w:rFonts w:ascii="黑体" w:hAnsi="黑体" w:eastAsia="黑体"/>
                <w:szCs w:val="21"/>
              </w:rPr>
            </w:pPr>
          </w:p>
        </w:tc>
        <w:tc>
          <w:tcPr>
            <w:tcW w:w="1701" w:type="dxa"/>
            <w:vMerge w:val="restart"/>
            <w:noWrap w:val="0"/>
            <w:tcMar>
              <w:left w:w="108" w:type="dxa"/>
              <w:right w:w="108" w:type="dxa"/>
            </w:tcMar>
            <w:vAlign w:val="center"/>
          </w:tcPr>
          <w:p>
            <w:pPr>
              <w:widowControl/>
              <w:spacing w:line="200" w:lineRule="exact"/>
              <w:ind w:left="-107" w:leftChars="-51"/>
              <w:rPr>
                <w:rFonts w:ascii="黑体" w:hAnsi="黑体" w:eastAsia="黑体"/>
                <w:szCs w:val="21"/>
              </w:rPr>
            </w:pPr>
            <w:r>
              <w:rPr>
                <w:rFonts w:hint="eastAsia" w:ascii="黑体" w:hAnsi="黑体" w:eastAsia="黑体"/>
                <w:kern w:val="0"/>
                <w:szCs w:val="21"/>
              </w:rPr>
              <w:t>（三）不予公开</w:t>
            </w:r>
          </w:p>
        </w:tc>
        <w:tc>
          <w:tcPr>
            <w:tcW w:w="2976" w:type="dxa"/>
            <w:noWrap w:val="0"/>
            <w:tcMar>
              <w:left w:w="108" w:type="dxa"/>
              <w:right w:w="108" w:type="dxa"/>
            </w:tcMar>
            <w:vAlign w:val="center"/>
          </w:tcPr>
          <w:p>
            <w:pPr>
              <w:widowControl/>
              <w:spacing w:line="200" w:lineRule="exact"/>
              <w:rPr>
                <w:rFonts w:ascii="仿宋_GB2312" w:hAnsi="黑体" w:eastAsia="仿宋_GB2312"/>
                <w:kern w:val="0"/>
                <w:szCs w:val="21"/>
              </w:rPr>
            </w:pPr>
            <w:r>
              <w:rPr>
                <w:rFonts w:hint="eastAsia" w:ascii="仿宋_GB2312" w:hAnsi="黑体" w:eastAsia="仿宋_GB2312"/>
                <w:kern w:val="0"/>
                <w:szCs w:val="21"/>
              </w:rPr>
              <w:t>1.属于国家秘密</w:t>
            </w:r>
          </w:p>
        </w:tc>
        <w:tc>
          <w:tcPr>
            <w:tcW w:w="829" w:type="dxa"/>
            <w:noWrap w:val="0"/>
            <w:tcMar>
              <w:left w:w="108" w:type="dxa"/>
              <w:right w:w="108" w:type="dxa"/>
            </w:tcMar>
            <w:vAlign w:val="center"/>
          </w:tcPr>
          <w:p>
            <w:pPr>
              <w:widowControl/>
              <w:spacing w:after="180" w:line="200" w:lineRule="exact"/>
              <w:jc w:val="center"/>
              <w:rPr>
                <w:rFonts w:hint="eastAsia" w:ascii="仿宋_GB2312" w:hAnsi="Times New Roman" w:eastAsia="仿宋_GB2312"/>
                <w:b w:val="0"/>
                <w:bCs w:val="0"/>
                <w:color w:val="auto"/>
                <w:szCs w:val="21"/>
                <w:lang w:val="en-US" w:eastAsia="zh-CN"/>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851"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16" w:type="dxa"/>
            <w:vMerge w:val="continue"/>
            <w:noWrap w:val="0"/>
            <w:tcMar>
              <w:left w:w="108" w:type="dxa"/>
              <w:right w:w="108" w:type="dxa"/>
            </w:tcMar>
            <w:vAlign w:val="center"/>
          </w:tcPr>
          <w:p>
            <w:pPr>
              <w:rPr>
                <w:rFonts w:ascii="黑体" w:hAnsi="黑体" w:eastAsia="黑体"/>
                <w:szCs w:val="21"/>
              </w:rPr>
            </w:pPr>
          </w:p>
        </w:tc>
        <w:tc>
          <w:tcPr>
            <w:tcW w:w="1701" w:type="dxa"/>
            <w:vMerge w:val="continue"/>
            <w:noWrap w:val="0"/>
            <w:tcMar>
              <w:left w:w="108" w:type="dxa"/>
              <w:right w:w="108" w:type="dxa"/>
            </w:tcMar>
            <w:vAlign w:val="center"/>
          </w:tcPr>
          <w:p>
            <w:pPr>
              <w:spacing w:line="200" w:lineRule="exact"/>
              <w:rPr>
                <w:rFonts w:ascii="黑体" w:hAnsi="黑体" w:eastAsia="黑体"/>
                <w:szCs w:val="21"/>
              </w:rPr>
            </w:pPr>
          </w:p>
        </w:tc>
        <w:tc>
          <w:tcPr>
            <w:tcW w:w="2976" w:type="dxa"/>
            <w:noWrap w:val="0"/>
            <w:tcMar>
              <w:left w:w="108" w:type="dxa"/>
              <w:right w:w="108" w:type="dxa"/>
            </w:tcMar>
            <w:vAlign w:val="center"/>
          </w:tcPr>
          <w:p>
            <w:pPr>
              <w:widowControl/>
              <w:spacing w:line="200" w:lineRule="exact"/>
              <w:rPr>
                <w:rFonts w:ascii="仿宋_GB2312" w:hAnsi="黑体" w:eastAsia="仿宋_GB2312"/>
                <w:kern w:val="0"/>
                <w:szCs w:val="21"/>
              </w:rPr>
            </w:pPr>
            <w:r>
              <w:rPr>
                <w:rFonts w:hint="eastAsia" w:ascii="仿宋_GB2312" w:hAnsi="黑体" w:eastAsia="仿宋_GB2312"/>
                <w:kern w:val="0"/>
                <w:szCs w:val="21"/>
              </w:rPr>
              <w:t>2.</w:t>
            </w:r>
            <w:bookmarkStart w:id="3" w:name="_Hlk66974104"/>
            <w:r>
              <w:rPr>
                <w:rFonts w:hint="eastAsia" w:ascii="仿宋_GB2312" w:hAnsi="黑体" w:eastAsia="仿宋_GB2312"/>
                <w:kern w:val="0"/>
                <w:szCs w:val="21"/>
              </w:rPr>
              <w:t>其他法律行政法规禁止公开</w:t>
            </w:r>
            <w:bookmarkEnd w:id="3"/>
          </w:p>
        </w:tc>
        <w:tc>
          <w:tcPr>
            <w:tcW w:w="829" w:type="dxa"/>
            <w:noWrap w:val="0"/>
            <w:tcMar>
              <w:left w:w="108" w:type="dxa"/>
              <w:right w:w="108" w:type="dxa"/>
            </w:tcMar>
            <w:vAlign w:val="center"/>
          </w:tcPr>
          <w:p>
            <w:pPr>
              <w:widowControl/>
              <w:spacing w:after="180" w:line="200" w:lineRule="exact"/>
              <w:jc w:val="center"/>
              <w:rPr>
                <w:rFonts w:hint="eastAsia" w:ascii="仿宋_GB2312" w:hAnsi="Times New Roman" w:eastAsia="仿宋_GB2312"/>
                <w:b w:val="0"/>
                <w:bCs w:val="0"/>
                <w:color w:val="auto"/>
                <w:szCs w:val="21"/>
                <w:lang w:val="en-US" w:eastAsia="zh-CN"/>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851"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16" w:type="dxa"/>
            <w:vMerge w:val="continue"/>
            <w:noWrap w:val="0"/>
            <w:tcMar>
              <w:left w:w="108" w:type="dxa"/>
              <w:right w:w="108" w:type="dxa"/>
            </w:tcMar>
            <w:vAlign w:val="center"/>
          </w:tcPr>
          <w:p>
            <w:pPr>
              <w:rPr>
                <w:rFonts w:ascii="黑体" w:hAnsi="黑体" w:eastAsia="黑体"/>
                <w:szCs w:val="21"/>
              </w:rPr>
            </w:pPr>
          </w:p>
        </w:tc>
        <w:tc>
          <w:tcPr>
            <w:tcW w:w="1701" w:type="dxa"/>
            <w:vMerge w:val="continue"/>
            <w:noWrap w:val="0"/>
            <w:tcMar>
              <w:left w:w="108" w:type="dxa"/>
              <w:right w:w="108" w:type="dxa"/>
            </w:tcMar>
            <w:vAlign w:val="center"/>
          </w:tcPr>
          <w:p>
            <w:pPr>
              <w:spacing w:line="200" w:lineRule="exact"/>
              <w:rPr>
                <w:rFonts w:ascii="黑体" w:hAnsi="黑体" w:eastAsia="黑体"/>
                <w:szCs w:val="21"/>
              </w:rPr>
            </w:pPr>
          </w:p>
        </w:tc>
        <w:tc>
          <w:tcPr>
            <w:tcW w:w="2976" w:type="dxa"/>
            <w:noWrap w:val="0"/>
            <w:tcMar>
              <w:left w:w="108" w:type="dxa"/>
              <w:right w:w="108" w:type="dxa"/>
            </w:tcMar>
            <w:vAlign w:val="center"/>
          </w:tcPr>
          <w:p>
            <w:pPr>
              <w:widowControl/>
              <w:spacing w:line="200" w:lineRule="exact"/>
              <w:rPr>
                <w:rFonts w:ascii="仿宋_GB2312" w:hAnsi="黑体" w:eastAsia="仿宋_GB2312"/>
                <w:kern w:val="0"/>
                <w:szCs w:val="21"/>
              </w:rPr>
            </w:pPr>
            <w:r>
              <w:rPr>
                <w:rFonts w:hint="eastAsia" w:ascii="仿宋_GB2312" w:hAnsi="黑体" w:eastAsia="仿宋_GB2312"/>
                <w:kern w:val="0"/>
                <w:szCs w:val="21"/>
              </w:rPr>
              <w:t>3.危及“三安全一稳定”</w:t>
            </w:r>
          </w:p>
        </w:tc>
        <w:tc>
          <w:tcPr>
            <w:tcW w:w="829" w:type="dxa"/>
            <w:noWrap w:val="0"/>
            <w:tcMar>
              <w:left w:w="108" w:type="dxa"/>
              <w:right w:w="108" w:type="dxa"/>
            </w:tcMar>
            <w:vAlign w:val="center"/>
          </w:tcPr>
          <w:p>
            <w:pPr>
              <w:widowControl/>
              <w:spacing w:after="180" w:line="200" w:lineRule="exact"/>
              <w:jc w:val="center"/>
              <w:rPr>
                <w:rFonts w:hint="eastAsia" w:ascii="仿宋_GB2312" w:hAnsi="Times New Roman" w:eastAsia="仿宋_GB2312"/>
                <w:b w:val="0"/>
                <w:bCs w:val="0"/>
                <w:color w:val="auto"/>
                <w:szCs w:val="21"/>
                <w:lang w:val="en-US" w:eastAsia="zh-CN"/>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851"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16" w:type="dxa"/>
            <w:vMerge w:val="continue"/>
            <w:noWrap w:val="0"/>
            <w:tcMar>
              <w:left w:w="108" w:type="dxa"/>
              <w:right w:w="108" w:type="dxa"/>
            </w:tcMar>
            <w:vAlign w:val="center"/>
          </w:tcPr>
          <w:p>
            <w:pPr>
              <w:rPr>
                <w:rFonts w:ascii="黑体" w:hAnsi="黑体" w:eastAsia="黑体"/>
                <w:szCs w:val="21"/>
              </w:rPr>
            </w:pPr>
          </w:p>
        </w:tc>
        <w:tc>
          <w:tcPr>
            <w:tcW w:w="1701" w:type="dxa"/>
            <w:vMerge w:val="continue"/>
            <w:noWrap w:val="0"/>
            <w:tcMar>
              <w:left w:w="108" w:type="dxa"/>
              <w:right w:w="108" w:type="dxa"/>
            </w:tcMar>
            <w:vAlign w:val="center"/>
          </w:tcPr>
          <w:p>
            <w:pPr>
              <w:spacing w:line="200" w:lineRule="exact"/>
              <w:rPr>
                <w:rFonts w:ascii="黑体" w:hAnsi="黑体" w:eastAsia="黑体"/>
                <w:szCs w:val="21"/>
              </w:rPr>
            </w:pPr>
          </w:p>
        </w:tc>
        <w:tc>
          <w:tcPr>
            <w:tcW w:w="2976" w:type="dxa"/>
            <w:noWrap w:val="0"/>
            <w:tcMar>
              <w:left w:w="108" w:type="dxa"/>
              <w:right w:w="108" w:type="dxa"/>
            </w:tcMar>
            <w:vAlign w:val="center"/>
          </w:tcPr>
          <w:p>
            <w:pPr>
              <w:widowControl/>
              <w:spacing w:line="200" w:lineRule="exact"/>
              <w:rPr>
                <w:rFonts w:ascii="仿宋_GB2312" w:hAnsi="黑体" w:eastAsia="仿宋_GB2312"/>
                <w:kern w:val="0"/>
                <w:szCs w:val="21"/>
              </w:rPr>
            </w:pPr>
            <w:r>
              <w:rPr>
                <w:rFonts w:hint="eastAsia" w:ascii="仿宋_GB2312" w:hAnsi="黑体" w:eastAsia="仿宋_GB2312"/>
                <w:kern w:val="0"/>
                <w:szCs w:val="21"/>
              </w:rPr>
              <w:t>4.</w:t>
            </w:r>
            <w:bookmarkStart w:id="4" w:name="_Hlk66974290"/>
            <w:r>
              <w:rPr>
                <w:rFonts w:hint="eastAsia" w:ascii="仿宋_GB2312" w:hAnsi="黑体" w:eastAsia="仿宋_GB2312"/>
                <w:kern w:val="0"/>
                <w:szCs w:val="21"/>
              </w:rPr>
              <w:t>保护第三方合法权益</w:t>
            </w:r>
            <w:bookmarkEnd w:id="4"/>
          </w:p>
        </w:tc>
        <w:tc>
          <w:tcPr>
            <w:tcW w:w="829" w:type="dxa"/>
            <w:noWrap w:val="0"/>
            <w:tcMar>
              <w:left w:w="108" w:type="dxa"/>
              <w:right w:w="108" w:type="dxa"/>
            </w:tcMar>
            <w:vAlign w:val="center"/>
          </w:tcPr>
          <w:p>
            <w:pPr>
              <w:widowControl/>
              <w:spacing w:after="180" w:line="200" w:lineRule="exact"/>
              <w:jc w:val="center"/>
              <w:rPr>
                <w:rFonts w:hint="eastAsia" w:ascii="仿宋_GB2312" w:hAnsi="Times New Roman" w:eastAsia="仿宋_GB2312"/>
                <w:b w:val="0"/>
                <w:bCs w:val="0"/>
                <w:color w:val="auto"/>
                <w:szCs w:val="21"/>
                <w:lang w:val="en-US" w:eastAsia="zh-CN"/>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851"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16" w:type="dxa"/>
            <w:vMerge w:val="continue"/>
            <w:noWrap w:val="0"/>
            <w:tcMar>
              <w:left w:w="108" w:type="dxa"/>
              <w:right w:w="108" w:type="dxa"/>
            </w:tcMar>
            <w:vAlign w:val="center"/>
          </w:tcPr>
          <w:p>
            <w:pPr>
              <w:rPr>
                <w:rFonts w:ascii="黑体" w:hAnsi="黑体" w:eastAsia="黑体"/>
                <w:szCs w:val="21"/>
              </w:rPr>
            </w:pPr>
          </w:p>
        </w:tc>
        <w:tc>
          <w:tcPr>
            <w:tcW w:w="1701" w:type="dxa"/>
            <w:vMerge w:val="continue"/>
            <w:noWrap w:val="0"/>
            <w:tcMar>
              <w:left w:w="108" w:type="dxa"/>
              <w:right w:w="108" w:type="dxa"/>
            </w:tcMar>
            <w:vAlign w:val="center"/>
          </w:tcPr>
          <w:p>
            <w:pPr>
              <w:spacing w:line="200" w:lineRule="exact"/>
              <w:rPr>
                <w:rFonts w:ascii="黑体" w:hAnsi="黑体" w:eastAsia="黑体"/>
                <w:szCs w:val="21"/>
              </w:rPr>
            </w:pPr>
          </w:p>
        </w:tc>
        <w:tc>
          <w:tcPr>
            <w:tcW w:w="2976" w:type="dxa"/>
            <w:noWrap w:val="0"/>
            <w:tcMar>
              <w:left w:w="108" w:type="dxa"/>
              <w:right w:w="108" w:type="dxa"/>
            </w:tcMar>
            <w:vAlign w:val="center"/>
          </w:tcPr>
          <w:p>
            <w:pPr>
              <w:widowControl/>
              <w:spacing w:line="200" w:lineRule="exact"/>
              <w:rPr>
                <w:rFonts w:ascii="仿宋_GB2312" w:hAnsi="黑体" w:eastAsia="仿宋_GB2312"/>
                <w:kern w:val="0"/>
                <w:szCs w:val="21"/>
              </w:rPr>
            </w:pPr>
            <w:r>
              <w:rPr>
                <w:rFonts w:hint="eastAsia" w:ascii="仿宋_GB2312" w:hAnsi="黑体" w:eastAsia="仿宋_GB2312"/>
                <w:kern w:val="0"/>
                <w:szCs w:val="21"/>
              </w:rPr>
              <w:t>5.属于三类内部事务信息</w:t>
            </w:r>
          </w:p>
        </w:tc>
        <w:tc>
          <w:tcPr>
            <w:tcW w:w="829" w:type="dxa"/>
            <w:noWrap w:val="0"/>
            <w:tcMar>
              <w:left w:w="108" w:type="dxa"/>
              <w:right w:w="108" w:type="dxa"/>
            </w:tcMar>
            <w:vAlign w:val="center"/>
          </w:tcPr>
          <w:p>
            <w:pPr>
              <w:widowControl/>
              <w:spacing w:after="180" w:line="200" w:lineRule="exact"/>
              <w:jc w:val="center"/>
              <w:rPr>
                <w:rFonts w:hint="eastAsia" w:ascii="仿宋_GB2312" w:hAnsi="Times New Roman" w:eastAsia="仿宋_GB2312"/>
                <w:b w:val="0"/>
                <w:bCs w:val="0"/>
                <w:color w:val="auto"/>
                <w:szCs w:val="21"/>
                <w:lang w:val="en-US" w:eastAsia="zh-CN"/>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851"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16" w:type="dxa"/>
            <w:vMerge w:val="continue"/>
            <w:noWrap w:val="0"/>
            <w:tcMar>
              <w:left w:w="108" w:type="dxa"/>
              <w:right w:w="108" w:type="dxa"/>
            </w:tcMar>
            <w:vAlign w:val="center"/>
          </w:tcPr>
          <w:p>
            <w:pPr>
              <w:rPr>
                <w:rFonts w:ascii="黑体" w:hAnsi="黑体" w:eastAsia="黑体"/>
                <w:szCs w:val="21"/>
              </w:rPr>
            </w:pPr>
          </w:p>
        </w:tc>
        <w:tc>
          <w:tcPr>
            <w:tcW w:w="1701" w:type="dxa"/>
            <w:vMerge w:val="continue"/>
            <w:noWrap w:val="0"/>
            <w:tcMar>
              <w:left w:w="108" w:type="dxa"/>
              <w:right w:w="108" w:type="dxa"/>
            </w:tcMar>
            <w:vAlign w:val="center"/>
          </w:tcPr>
          <w:p>
            <w:pPr>
              <w:spacing w:line="200" w:lineRule="exact"/>
              <w:rPr>
                <w:rFonts w:ascii="黑体" w:hAnsi="黑体" w:eastAsia="黑体"/>
                <w:szCs w:val="21"/>
              </w:rPr>
            </w:pPr>
          </w:p>
        </w:tc>
        <w:tc>
          <w:tcPr>
            <w:tcW w:w="2976" w:type="dxa"/>
            <w:noWrap w:val="0"/>
            <w:tcMar>
              <w:left w:w="108" w:type="dxa"/>
              <w:right w:w="108" w:type="dxa"/>
            </w:tcMar>
            <w:vAlign w:val="center"/>
          </w:tcPr>
          <w:p>
            <w:pPr>
              <w:widowControl/>
              <w:spacing w:line="200" w:lineRule="exact"/>
              <w:rPr>
                <w:rFonts w:ascii="仿宋_GB2312" w:hAnsi="黑体" w:eastAsia="仿宋_GB2312"/>
                <w:kern w:val="0"/>
                <w:szCs w:val="21"/>
              </w:rPr>
            </w:pPr>
            <w:r>
              <w:rPr>
                <w:rFonts w:hint="eastAsia" w:ascii="仿宋_GB2312" w:hAnsi="黑体" w:eastAsia="仿宋_GB2312"/>
                <w:kern w:val="0"/>
                <w:szCs w:val="21"/>
              </w:rPr>
              <w:t>6.</w:t>
            </w:r>
            <w:bookmarkStart w:id="5" w:name="_Hlk66974555"/>
            <w:r>
              <w:rPr>
                <w:rFonts w:hint="eastAsia" w:ascii="仿宋_GB2312" w:hAnsi="黑体" w:eastAsia="仿宋_GB2312"/>
                <w:kern w:val="0"/>
                <w:szCs w:val="21"/>
              </w:rPr>
              <w:t>属于四类过程性信息</w:t>
            </w:r>
            <w:bookmarkEnd w:id="5"/>
          </w:p>
        </w:tc>
        <w:tc>
          <w:tcPr>
            <w:tcW w:w="829" w:type="dxa"/>
            <w:noWrap w:val="0"/>
            <w:tcMar>
              <w:left w:w="108" w:type="dxa"/>
              <w:right w:w="108" w:type="dxa"/>
            </w:tcMar>
            <w:vAlign w:val="center"/>
          </w:tcPr>
          <w:p>
            <w:pPr>
              <w:widowControl/>
              <w:spacing w:after="180" w:line="200" w:lineRule="exact"/>
              <w:jc w:val="center"/>
              <w:rPr>
                <w:rFonts w:hint="eastAsia" w:ascii="仿宋_GB2312" w:hAnsi="Times New Roman" w:eastAsia="仿宋_GB2312"/>
                <w:b w:val="0"/>
                <w:bCs w:val="0"/>
                <w:color w:val="auto"/>
                <w:szCs w:val="21"/>
                <w:lang w:val="en-US" w:eastAsia="zh-CN"/>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851"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16" w:type="dxa"/>
            <w:vMerge w:val="continue"/>
            <w:noWrap w:val="0"/>
            <w:tcMar>
              <w:left w:w="108" w:type="dxa"/>
              <w:right w:w="108" w:type="dxa"/>
            </w:tcMar>
            <w:vAlign w:val="center"/>
          </w:tcPr>
          <w:p>
            <w:pPr>
              <w:rPr>
                <w:rFonts w:ascii="黑体" w:hAnsi="黑体" w:eastAsia="黑体"/>
                <w:szCs w:val="21"/>
              </w:rPr>
            </w:pPr>
          </w:p>
        </w:tc>
        <w:tc>
          <w:tcPr>
            <w:tcW w:w="1701" w:type="dxa"/>
            <w:vMerge w:val="continue"/>
            <w:noWrap w:val="0"/>
            <w:tcMar>
              <w:left w:w="108" w:type="dxa"/>
              <w:right w:w="108" w:type="dxa"/>
            </w:tcMar>
            <w:vAlign w:val="center"/>
          </w:tcPr>
          <w:p>
            <w:pPr>
              <w:spacing w:line="200" w:lineRule="exact"/>
              <w:rPr>
                <w:rFonts w:ascii="黑体" w:hAnsi="黑体" w:eastAsia="黑体"/>
                <w:szCs w:val="21"/>
              </w:rPr>
            </w:pPr>
          </w:p>
        </w:tc>
        <w:tc>
          <w:tcPr>
            <w:tcW w:w="2976" w:type="dxa"/>
            <w:noWrap w:val="0"/>
            <w:tcMar>
              <w:left w:w="108" w:type="dxa"/>
              <w:right w:w="108" w:type="dxa"/>
            </w:tcMar>
            <w:vAlign w:val="center"/>
          </w:tcPr>
          <w:p>
            <w:pPr>
              <w:widowControl/>
              <w:spacing w:line="200" w:lineRule="exact"/>
              <w:rPr>
                <w:rFonts w:ascii="仿宋_GB2312" w:hAnsi="黑体" w:eastAsia="仿宋_GB2312"/>
                <w:kern w:val="0"/>
                <w:szCs w:val="21"/>
              </w:rPr>
            </w:pPr>
            <w:r>
              <w:rPr>
                <w:rFonts w:hint="eastAsia" w:ascii="仿宋_GB2312" w:hAnsi="黑体" w:eastAsia="仿宋_GB2312"/>
                <w:kern w:val="0"/>
                <w:szCs w:val="21"/>
              </w:rPr>
              <w:t>7.属于行政执法案卷</w:t>
            </w:r>
          </w:p>
        </w:tc>
        <w:tc>
          <w:tcPr>
            <w:tcW w:w="829" w:type="dxa"/>
            <w:noWrap w:val="0"/>
            <w:tcMar>
              <w:left w:w="108" w:type="dxa"/>
              <w:right w:w="108" w:type="dxa"/>
            </w:tcMar>
            <w:vAlign w:val="center"/>
          </w:tcPr>
          <w:p>
            <w:pPr>
              <w:widowControl/>
              <w:spacing w:after="180" w:line="200" w:lineRule="exact"/>
              <w:jc w:val="center"/>
              <w:rPr>
                <w:rFonts w:hint="eastAsia" w:ascii="仿宋_GB2312" w:hAnsi="Times New Roman" w:eastAsia="仿宋_GB2312"/>
                <w:b w:val="0"/>
                <w:bCs w:val="0"/>
                <w:color w:val="auto"/>
                <w:szCs w:val="21"/>
                <w:lang w:val="en-US" w:eastAsia="zh-CN"/>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851"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16" w:type="dxa"/>
            <w:vMerge w:val="continue"/>
            <w:noWrap w:val="0"/>
            <w:tcMar>
              <w:left w:w="108" w:type="dxa"/>
              <w:right w:w="108" w:type="dxa"/>
            </w:tcMar>
            <w:vAlign w:val="center"/>
          </w:tcPr>
          <w:p>
            <w:pPr>
              <w:rPr>
                <w:rFonts w:ascii="黑体" w:hAnsi="黑体" w:eastAsia="黑体"/>
                <w:szCs w:val="21"/>
              </w:rPr>
            </w:pPr>
          </w:p>
        </w:tc>
        <w:tc>
          <w:tcPr>
            <w:tcW w:w="1701" w:type="dxa"/>
            <w:vMerge w:val="continue"/>
            <w:noWrap w:val="0"/>
            <w:tcMar>
              <w:left w:w="108" w:type="dxa"/>
              <w:right w:w="108" w:type="dxa"/>
            </w:tcMar>
            <w:vAlign w:val="center"/>
          </w:tcPr>
          <w:p>
            <w:pPr>
              <w:spacing w:line="200" w:lineRule="exact"/>
              <w:rPr>
                <w:rFonts w:ascii="黑体" w:hAnsi="黑体" w:eastAsia="黑体"/>
                <w:szCs w:val="21"/>
              </w:rPr>
            </w:pPr>
          </w:p>
        </w:tc>
        <w:tc>
          <w:tcPr>
            <w:tcW w:w="2976" w:type="dxa"/>
            <w:noWrap w:val="0"/>
            <w:tcMar>
              <w:left w:w="108" w:type="dxa"/>
              <w:right w:w="108" w:type="dxa"/>
            </w:tcMar>
            <w:vAlign w:val="center"/>
          </w:tcPr>
          <w:p>
            <w:pPr>
              <w:widowControl/>
              <w:spacing w:line="200" w:lineRule="exact"/>
              <w:rPr>
                <w:rFonts w:ascii="仿宋_GB2312" w:hAnsi="黑体" w:eastAsia="仿宋_GB2312"/>
                <w:kern w:val="0"/>
                <w:szCs w:val="21"/>
              </w:rPr>
            </w:pPr>
            <w:r>
              <w:rPr>
                <w:rFonts w:hint="eastAsia" w:ascii="仿宋_GB2312" w:hAnsi="黑体" w:eastAsia="仿宋_GB2312"/>
                <w:kern w:val="0"/>
                <w:szCs w:val="21"/>
              </w:rPr>
              <w:t>8.</w:t>
            </w:r>
            <w:bookmarkStart w:id="6" w:name="_Hlk66975211"/>
            <w:r>
              <w:rPr>
                <w:rFonts w:hint="eastAsia" w:ascii="仿宋_GB2312" w:hAnsi="黑体" w:eastAsia="仿宋_GB2312"/>
                <w:kern w:val="0"/>
                <w:szCs w:val="21"/>
              </w:rPr>
              <w:t>属于行政查询事项</w:t>
            </w:r>
            <w:bookmarkEnd w:id="6"/>
          </w:p>
        </w:tc>
        <w:tc>
          <w:tcPr>
            <w:tcW w:w="829" w:type="dxa"/>
            <w:noWrap w:val="0"/>
            <w:tcMar>
              <w:left w:w="108" w:type="dxa"/>
              <w:right w:w="108" w:type="dxa"/>
            </w:tcMar>
            <w:vAlign w:val="center"/>
          </w:tcPr>
          <w:p>
            <w:pPr>
              <w:widowControl/>
              <w:spacing w:after="180" w:line="200" w:lineRule="exact"/>
              <w:jc w:val="center"/>
              <w:rPr>
                <w:rFonts w:hint="eastAsia" w:ascii="仿宋_GB2312" w:hAnsi="Times New Roman" w:eastAsia="仿宋_GB2312"/>
                <w:b w:val="0"/>
                <w:bCs w:val="0"/>
                <w:color w:val="auto"/>
                <w:szCs w:val="21"/>
                <w:lang w:val="en-US" w:eastAsia="zh-CN"/>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851"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16" w:type="dxa"/>
            <w:vMerge w:val="continue"/>
            <w:noWrap w:val="0"/>
            <w:tcMar>
              <w:left w:w="108" w:type="dxa"/>
              <w:right w:w="108" w:type="dxa"/>
            </w:tcMar>
            <w:vAlign w:val="center"/>
          </w:tcPr>
          <w:p>
            <w:pPr>
              <w:rPr>
                <w:rFonts w:ascii="黑体" w:hAnsi="黑体" w:eastAsia="黑体"/>
                <w:szCs w:val="21"/>
              </w:rPr>
            </w:pPr>
          </w:p>
        </w:tc>
        <w:tc>
          <w:tcPr>
            <w:tcW w:w="1701" w:type="dxa"/>
            <w:vMerge w:val="restart"/>
            <w:noWrap w:val="0"/>
            <w:tcMar>
              <w:left w:w="108" w:type="dxa"/>
              <w:right w:w="108" w:type="dxa"/>
            </w:tcMar>
            <w:vAlign w:val="center"/>
          </w:tcPr>
          <w:p>
            <w:pPr>
              <w:widowControl/>
              <w:spacing w:line="200" w:lineRule="exact"/>
              <w:ind w:left="-107" w:leftChars="-51"/>
              <w:rPr>
                <w:rFonts w:ascii="黑体" w:hAnsi="黑体" w:eastAsia="黑体"/>
                <w:szCs w:val="21"/>
              </w:rPr>
            </w:pPr>
            <w:r>
              <w:rPr>
                <w:rFonts w:hint="eastAsia" w:ascii="黑体" w:hAnsi="黑体" w:eastAsia="黑体"/>
                <w:kern w:val="0"/>
                <w:szCs w:val="21"/>
              </w:rPr>
              <w:t>（四）无法提供</w:t>
            </w:r>
          </w:p>
        </w:tc>
        <w:tc>
          <w:tcPr>
            <w:tcW w:w="2976" w:type="dxa"/>
            <w:noWrap w:val="0"/>
            <w:tcMar>
              <w:left w:w="108" w:type="dxa"/>
              <w:right w:w="108" w:type="dxa"/>
            </w:tcMar>
            <w:vAlign w:val="center"/>
          </w:tcPr>
          <w:p>
            <w:pPr>
              <w:widowControl/>
              <w:spacing w:line="200" w:lineRule="exact"/>
              <w:rPr>
                <w:rFonts w:ascii="仿宋_GB2312" w:hAnsi="黑体" w:eastAsia="仿宋_GB2312"/>
                <w:kern w:val="0"/>
                <w:szCs w:val="21"/>
              </w:rPr>
            </w:pPr>
            <w:r>
              <w:rPr>
                <w:rFonts w:hint="eastAsia" w:ascii="仿宋_GB2312" w:hAnsi="黑体" w:eastAsia="仿宋_GB2312"/>
                <w:kern w:val="0"/>
                <w:szCs w:val="21"/>
              </w:rPr>
              <w:t>1.本机关不掌握相关政府信息</w:t>
            </w:r>
          </w:p>
        </w:tc>
        <w:tc>
          <w:tcPr>
            <w:tcW w:w="829" w:type="dxa"/>
            <w:noWrap w:val="0"/>
            <w:tcMar>
              <w:left w:w="108" w:type="dxa"/>
              <w:right w:w="108" w:type="dxa"/>
            </w:tcMar>
            <w:vAlign w:val="center"/>
          </w:tcPr>
          <w:p>
            <w:pPr>
              <w:widowControl/>
              <w:spacing w:after="180" w:line="200" w:lineRule="exact"/>
              <w:jc w:val="center"/>
              <w:rPr>
                <w:rFonts w:hint="eastAsia" w:ascii="仿宋_GB2312" w:hAnsi="Times New Roman" w:eastAsia="仿宋_GB2312"/>
                <w:b w:val="0"/>
                <w:bCs w:val="0"/>
                <w:color w:val="auto"/>
                <w:szCs w:val="21"/>
                <w:lang w:val="en-US" w:eastAsia="zh-CN"/>
              </w:rPr>
            </w:pPr>
            <w:r>
              <w:rPr>
                <w:rFonts w:hint="eastAsia" w:ascii="仿宋_GB2312" w:hAnsi="Times New Roman" w:eastAsia="仿宋_GB2312"/>
                <w:b w:val="0"/>
                <w:bCs w:val="0"/>
                <w:color w:val="auto"/>
                <w:szCs w:val="21"/>
                <w:lang w:val="en-US" w:eastAsia="zh-CN"/>
              </w:rPr>
              <w:t>6</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0</w:t>
            </w:r>
          </w:p>
        </w:tc>
        <w:tc>
          <w:tcPr>
            <w:tcW w:w="851" w:type="dxa"/>
            <w:noWrap w:val="0"/>
            <w:tcMar>
              <w:left w:w="108" w:type="dxa"/>
              <w:right w:w="108" w:type="dxa"/>
            </w:tcMar>
            <w:vAlign w:val="center"/>
          </w:tcPr>
          <w:p>
            <w:pPr>
              <w:widowControl/>
              <w:spacing w:after="180"/>
              <w:jc w:val="center"/>
              <w:rPr>
                <w:rFonts w:ascii="仿宋_GB2312" w:hAnsi="Times New Roman" w:eastAsia="仿宋_GB2312"/>
                <w:b w:val="0"/>
                <w:bCs w:val="0"/>
                <w:color w:val="auto"/>
                <w:szCs w:val="21"/>
              </w:rPr>
            </w:pPr>
            <w:r>
              <w:rPr>
                <w:rFonts w:hint="eastAsia" w:ascii="仿宋_GB2312" w:hAnsi="Times New Roman" w:eastAsia="仿宋_GB2312"/>
                <w:b w:val="0"/>
                <w:bCs w:val="0"/>
                <w:color w:val="auto"/>
                <w:szCs w:val="21"/>
                <w:lang w:val="en-US" w:eastAsia="zh-CN"/>
              </w:rPr>
              <w:t>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16" w:type="dxa"/>
            <w:vMerge w:val="continue"/>
            <w:noWrap w:val="0"/>
            <w:tcMar>
              <w:left w:w="108" w:type="dxa"/>
              <w:right w:w="108" w:type="dxa"/>
            </w:tcMar>
            <w:vAlign w:val="center"/>
          </w:tcPr>
          <w:p>
            <w:pPr>
              <w:rPr>
                <w:rFonts w:ascii="黑体" w:hAnsi="黑体" w:eastAsia="黑体"/>
                <w:szCs w:val="21"/>
              </w:rPr>
            </w:pPr>
          </w:p>
        </w:tc>
        <w:tc>
          <w:tcPr>
            <w:tcW w:w="1701" w:type="dxa"/>
            <w:vMerge w:val="continue"/>
            <w:noWrap w:val="0"/>
            <w:tcMar>
              <w:left w:w="108" w:type="dxa"/>
              <w:right w:w="108" w:type="dxa"/>
            </w:tcMar>
            <w:vAlign w:val="center"/>
          </w:tcPr>
          <w:p>
            <w:pPr>
              <w:spacing w:line="200" w:lineRule="exact"/>
              <w:ind w:left="-107" w:leftChars="-51"/>
              <w:rPr>
                <w:rFonts w:ascii="黑体" w:hAnsi="黑体" w:eastAsia="黑体"/>
                <w:szCs w:val="21"/>
              </w:rPr>
            </w:pPr>
          </w:p>
        </w:tc>
        <w:tc>
          <w:tcPr>
            <w:tcW w:w="2976" w:type="dxa"/>
            <w:noWrap w:val="0"/>
            <w:tcMar>
              <w:left w:w="108" w:type="dxa"/>
              <w:right w:w="108" w:type="dxa"/>
            </w:tcMar>
            <w:vAlign w:val="center"/>
          </w:tcPr>
          <w:p>
            <w:pPr>
              <w:widowControl/>
              <w:spacing w:line="200" w:lineRule="exact"/>
              <w:rPr>
                <w:rFonts w:ascii="仿宋_GB2312" w:hAnsi="黑体" w:eastAsia="仿宋_GB2312"/>
                <w:kern w:val="0"/>
                <w:szCs w:val="21"/>
              </w:rPr>
            </w:pPr>
            <w:r>
              <w:rPr>
                <w:rFonts w:hint="eastAsia" w:ascii="仿宋_GB2312" w:hAnsi="黑体" w:eastAsia="仿宋_GB2312"/>
                <w:kern w:val="0"/>
                <w:szCs w:val="21"/>
              </w:rPr>
              <w:t>2.</w:t>
            </w:r>
            <w:bookmarkStart w:id="7" w:name="_Hlk66975392"/>
            <w:r>
              <w:rPr>
                <w:rFonts w:hint="eastAsia" w:ascii="仿宋_GB2312" w:hAnsi="黑体" w:eastAsia="仿宋_GB2312"/>
                <w:kern w:val="0"/>
                <w:szCs w:val="21"/>
              </w:rPr>
              <w:t>没有现成信息需要另行制作</w:t>
            </w:r>
            <w:bookmarkEnd w:id="7"/>
          </w:p>
        </w:tc>
        <w:tc>
          <w:tcPr>
            <w:tcW w:w="829" w:type="dxa"/>
            <w:noWrap w:val="0"/>
            <w:tcMar>
              <w:left w:w="108" w:type="dxa"/>
              <w:right w:w="108" w:type="dxa"/>
            </w:tcMar>
            <w:vAlign w:val="center"/>
          </w:tcPr>
          <w:p>
            <w:pPr>
              <w:widowControl/>
              <w:spacing w:after="180" w:line="200" w:lineRule="exact"/>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85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16" w:type="dxa"/>
            <w:vMerge w:val="continue"/>
            <w:noWrap w:val="0"/>
            <w:tcMar>
              <w:left w:w="108" w:type="dxa"/>
              <w:right w:w="108" w:type="dxa"/>
            </w:tcMar>
            <w:vAlign w:val="center"/>
          </w:tcPr>
          <w:p>
            <w:pPr>
              <w:rPr>
                <w:rFonts w:ascii="黑体" w:hAnsi="黑体" w:eastAsia="黑体"/>
                <w:szCs w:val="21"/>
              </w:rPr>
            </w:pPr>
          </w:p>
        </w:tc>
        <w:tc>
          <w:tcPr>
            <w:tcW w:w="1701" w:type="dxa"/>
            <w:vMerge w:val="continue"/>
            <w:noWrap w:val="0"/>
            <w:tcMar>
              <w:left w:w="108" w:type="dxa"/>
              <w:right w:w="108" w:type="dxa"/>
            </w:tcMar>
            <w:vAlign w:val="center"/>
          </w:tcPr>
          <w:p>
            <w:pPr>
              <w:spacing w:line="200" w:lineRule="exact"/>
              <w:ind w:left="-107" w:leftChars="-51"/>
              <w:rPr>
                <w:rFonts w:ascii="黑体" w:hAnsi="黑体" w:eastAsia="黑体"/>
                <w:szCs w:val="21"/>
              </w:rPr>
            </w:pPr>
          </w:p>
        </w:tc>
        <w:tc>
          <w:tcPr>
            <w:tcW w:w="2976" w:type="dxa"/>
            <w:noWrap w:val="0"/>
            <w:tcMar>
              <w:left w:w="108" w:type="dxa"/>
              <w:right w:w="108" w:type="dxa"/>
            </w:tcMar>
            <w:vAlign w:val="center"/>
          </w:tcPr>
          <w:p>
            <w:pPr>
              <w:widowControl/>
              <w:spacing w:line="200" w:lineRule="exact"/>
              <w:rPr>
                <w:rFonts w:ascii="仿宋_GB2312" w:hAnsi="黑体" w:eastAsia="仿宋_GB2312"/>
                <w:kern w:val="0"/>
                <w:szCs w:val="21"/>
              </w:rPr>
            </w:pPr>
            <w:r>
              <w:rPr>
                <w:rFonts w:hint="eastAsia" w:ascii="仿宋_GB2312" w:hAnsi="黑体" w:eastAsia="仿宋_GB2312"/>
                <w:kern w:val="0"/>
                <w:szCs w:val="21"/>
              </w:rPr>
              <w:t>3.</w:t>
            </w:r>
            <w:bookmarkStart w:id="8" w:name="_Hlk66975466"/>
            <w:r>
              <w:rPr>
                <w:rFonts w:hint="eastAsia" w:ascii="仿宋_GB2312" w:hAnsi="黑体" w:eastAsia="仿宋_GB2312"/>
                <w:kern w:val="0"/>
                <w:szCs w:val="21"/>
              </w:rPr>
              <w:t>补正后申请内容仍不明确</w:t>
            </w:r>
            <w:bookmarkEnd w:id="8"/>
          </w:p>
        </w:tc>
        <w:tc>
          <w:tcPr>
            <w:tcW w:w="829" w:type="dxa"/>
            <w:noWrap w:val="0"/>
            <w:tcMar>
              <w:left w:w="108" w:type="dxa"/>
              <w:right w:w="108" w:type="dxa"/>
            </w:tcMar>
            <w:vAlign w:val="center"/>
          </w:tcPr>
          <w:p>
            <w:pPr>
              <w:widowControl/>
              <w:spacing w:after="180" w:line="200" w:lineRule="exact"/>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85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16" w:type="dxa"/>
            <w:vMerge w:val="continue"/>
            <w:noWrap w:val="0"/>
            <w:tcMar>
              <w:left w:w="108" w:type="dxa"/>
              <w:right w:w="108" w:type="dxa"/>
            </w:tcMar>
            <w:vAlign w:val="center"/>
          </w:tcPr>
          <w:p>
            <w:pPr>
              <w:rPr>
                <w:rFonts w:ascii="黑体" w:hAnsi="黑体" w:eastAsia="黑体"/>
                <w:szCs w:val="21"/>
              </w:rPr>
            </w:pPr>
          </w:p>
        </w:tc>
        <w:tc>
          <w:tcPr>
            <w:tcW w:w="1701" w:type="dxa"/>
            <w:vMerge w:val="restart"/>
            <w:noWrap w:val="0"/>
            <w:tcMar>
              <w:left w:w="108" w:type="dxa"/>
              <w:right w:w="108" w:type="dxa"/>
            </w:tcMar>
            <w:vAlign w:val="center"/>
          </w:tcPr>
          <w:p>
            <w:pPr>
              <w:widowControl/>
              <w:spacing w:line="200" w:lineRule="exact"/>
              <w:ind w:left="-107" w:leftChars="-51"/>
              <w:rPr>
                <w:rFonts w:ascii="黑体" w:hAnsi="黑体" w:eastAsia="黑体"/>
                <w:szCs w:val="21"/>
              </w:rPr>
            </w:pPr>
            <w:r>
              <w:rPr>
                <w:rFonts w:hint="eastAsia" w:ascii="黑体" w:hAnsi="黑体" w:eastAsia="黑体"/>
                <w:kern w:val="0"/>
                <w:szCs w:val="21"/>
              </w:rPr>
              <w:t>（五）不予处理</w:t>
            </w:r>
          </w:p>
        </w:tc>
        <w:tc>
          <w:tcPr>
            <w:tcW w:w="2976" w:type="dxa"/>
            <w:noWrap w:val="0"/>
            <w:tcMar>
              <w:left w:w="108" w:type="dxa"/>
              <w:right w:w="108" w:type="dxa"/>
            </w:tcMar>
            <w:vAlign w:val="center"/>
          </w:tcPr>
          <w:p>
            <w:pPr>
              <w:widowControl/>
              <w:spacing w:line="200" w:lineRule="exact"/>
              <w:rPr>
                <w:rFonts w:ascii="仿宋_GB2312" w:hAnsi="黑体" w:eastAsia="仿宋_GB2312"/>
                <w:kern w:val="0"/>
                <w:szCs w:val="21"/>
              </w:rPr>
            </w:pPr>
            <w:r>
              <w:rPr>
                <w:rFonts w:hint="eastAsia" w:ascii="仿宋_GB2312" w:hAnsi="黑体" w:eastAsia="仿宋_GB2312"/>
                <w:kern w:val="0"/>
                <w:szCs w:val="21"/>
              </w:rPr>
              <w:t>1.</w:t>
            </w:r>
            <w:bookmarkStart w:id="9" w:name="_Hlk66975537"/>
            <w:r>
              <w:rPr>
                <w:rFonts w:hint="eastAsia" w:ascii="仿宋_GB2312" w:hAnsi="黑体" w:eastAsia="仿宋_GB2312"/>
                <w:kern w:val="0"/>
                <w:szCs w:val="21"/>
              </w:rPr>
              <w:t>信访举报投诉类申请</w:t>
            </w:r>
            <w:bookmarkEnd w:id="9"/>
          </w:p>
        </w:tc>
        <w:tc>
          <w:tcPr>
            <w:tcW w:w="829" w:type="dxa"/>
            <w:noWrap w:val="0"/>
            <w:tcMar>
              <w:left w:w="108" w:type="dxa"/>
              <w:right w:w="108" w:type="dxa"/>
            </w:tcMar>
            <w:vAlign w:val="center"/>
          </w:tcPr>
          <w:p>
            <w:pPr>
              <w:widowControl/>
              <w:spacing w:after="180" w:line="200" w:lineRule="exact"/>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85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16" w:type="dxa"/>
            <w:vMerge w:val="continue"/>
            <w:noWrap w:val="0"/>
            <w:tcMar>
              <w:left w:w="108" w:type="dxa"/>
              <w:right w:w="108" w:type="dxa"/>
            </w:tcMar>
            <w:vAlign w:val="center"/>
          </w:tcPr>
          <w:p>
            <w:pPr>
              <w:rPr>
                <w:rFonts w:ascii="黑体" w:hAnsi="黑体" w:eastAsia="黑体"/>
                <w:szCs w:val="21"/>
              </w:rPr>
            </w:pPr>
          </w:p>
        </w:tc>
        <w:tc>
          <w:tcPr>
            <w:tcW w:w="1701" w:type="dxa"/>
            <w:vMerge w:val="continue"/>
            <w:noWrap w:val="0"/>
            <w:tcMar>
              <w:left w:w="108" w:type="dxa"/>
              <w:right w:w="108" w:type="dxa"/>
            </w:tcMar>
            <w:vAlign w:val="center"/>
          </w:tcPr>
          <w:p>
            <w:pPr>
              <w:spacing w:line="200" w:lineRule="exact"/>
              <w:rPr>
                <w:rFonts w:ascii="黑体" w:hAnsi="黑体" w:eastAsia="黑体"/>
                <w:szCs w:val="21"/>
              </w:rPr>
            </w:pPr>
          </w:p>
        </w:tc>
        <w:tc>
          <w:tcPr>
            <w:tcW w:w="2976" w:type="dxa"/>
            <w:noWrap w:val="0"/>
            <w:tcMar>
              <w:left w:w="108" w:type="dxa"/>
              <w:right w:w="108" w:type="dxa"/>
            </w:tcMar>
            <w:vAlign w:val="center"/>
          </w:tcPr>
          <w:p>
            <w:pPr>
              <w:widowControl/>
              <w:spacing w:line="200" w:lineRule="exact"/>
              <w:rPr>
                <w:rFonts w:ascii="仿宋_GB2312" w:hAnsi="黑体" w:eastAsia="仿宋_GB2312"/>
                <w:kern w:val="0"/>
                <w:szCs w:val="21"/>
              </w:rPr>
            </w:pPr>
            <w:r>
              <w:rPr>
                <w:rFonts w:hint="eastAsia" w:ascii="仿宋_GB2312" w:hAnsi="黑体" w:eastAsia="仿宋_GB2312"/>
                <w:kern w:val="0"/>
                <w:szCs w:val="21"/>
              </w:rPr>
              <w:t>2.重复申请</w:t>
            </w:r>
          </w:p>
        </w:tc>
        <w:tc>
          <w:tcPr>
            <w:tcW w:w="829" w:type="dxa"/>
            <w:noWrap w:val="0"/>
            <w:tcMar>
              <w:left w:w="108" w:type="dxa"/>
              <w:right w:w="108" w:type="dxa"/>
            </w:tcMar>
            <w:vAlign w:val="center"/>
          </w:tcPr>
          <w:p>
            <w:pPr>
              <w:widowControl/>
              <w:spacing w:after="180" w:line="200" w:lineRule="exact"/>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85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16" w:type="dxa"/>
            <w:vMerge w:val="continue"/>
            <w:noWrap w:val="0"/>
            <w:tcMar>
              <w:left w:w="108" w:type="dxa"/>
              <w:right w:w="108" w:type="dxa"/>
            </w:tcMar>
            <w:vAlign w:val="center"/>
          </w:tcPr>
          <w:p>
            <w:pPr>
              <w:rPr>
                <w:rFonts w:ascii="黑体" w:hAnsi="黑体" w:eastAsia="黑体"/>
                <w:szCs w:val="21"/>
              </w:rPr>
            </w:pPr>
          </w:p>
        </w:tc>
        <w:tc>
          <w:tcPr>
            <w:tcW w:w="1701" w:type="dxa"/>
            <w:vMerge w:val="continue"/>
            <w:noWrap w:val="0"/>
            <w:tcMar>
              <w:left w:w="108" w:type="dxa"/>
              <w:right w:w="108" w:type="dxa"/>
            </w:tcMar>
            <w:vAlign w:val="center"/>
          </w:tcPr>
          <w:p>
            <w:pPr>
              <w:spacing w:line="200" w:lineRule="exact"/>
              <w:rPr>
                <w:rFonts w:ascii="黑体" w:hAnsi="黑体" w:eastAsia="黑体"/>
                <w:szCs w:val="21"/>
              </w:rPr>
            </w:pPr>
          </w:p>
        </w:tc>
        <w:tc>
          <w:tcPr>
            <w:tcW w:w="2976" w:type="dxa"/>
            <w:noWrap w:val="0"/>
            <w:tcMar>
              <w:left w:w="108" w:type="dxa"/>
              <w:right w:w="108" w:type="dxa"/>
            </w:tcMar>
            <w:vAlign w:val="center"/>
          </w:tcPr>
          <w:p>
            <w:pPr>
              <w:widowControl/>
              <w:spacing w:line="200" w:lineRule="exact"/>
              <w:rPr>
                <w:rFonts w:ascii="仿宋_GB2312" w:hAnsi="黑体" w:eastAsia="仿宋_GB2312"/>
                <w:szCs w:val="21"/>
              </w:rPr>
            </w:pPr>
            <w:r>
              <w:rPr>
                <w:rFonts w:hint="eastAsia" w:ascii="仿宋_GB2312" w:hAnsi="黑体" w:eastAsia="仿宋_GB2312"/>
                <w:kern w:val="0"/>
                <w:szCs w:val="21"/>
              </w:rPr>
              <w:t>3.要求提供公开出版物</w:t>
            </w:r>
          </w:p>
        </w:tc>
        <w:tc>
          <w:tcPr>
            <w:tcW w:w="829" w:type="dxa"/>
            <w:noWrap w:val="0"/>
            <w:tcMar>
              <w:left w:w="108" w:type="dxa"/>
              <w:right w:w="108" w:type="dxa"/>
            </w:tcMar>
            <w:vAlign w:val="center"/>
          </w:tcPr>
          <w:p>
            <w:pPr>
              <w:widowControl/>
              <w:spacing w:after="180" w:line="200" w:lineRule="exact"/>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85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97" w:hRule="exact"/>
          <w:jc w:val="center"/>
        </w:trPr>
        <w:tc>
          <w:tcPr>
            <w:tcW w:w="416" w:type="dxa"/>
            <w:vMerge w:val="continue"/>
            <w:noWrap w:val="0"/>
            <w:tcMar>
              <w:left w:w="108" w:type="dxa"/>
              <w:right w:w="108" w:type="dxa"/>
            </w:tcMar>
            <w:vAlign w:val="center"/>
          </w:tcPr>
          <w:p>
            <w:pPr>
              <w:rPr>
                <w:rFonts w:ascii="黑体" w:hAnsi="黑体" w:eastAsia="黑体"/>
                <w:szCs w:val="21"/>
              </w:rPr>
            </w:pPr>
          </w:p>
        </w:tc>
        <w:tc>
          <w:tcPr>
            <w:tcW w:w="1701" w:type="dxa"/>
            <w:vMerge w:val="continue"/>
            <w:noWrap w:val="0"/>
            <w:tcMar>
              <w:left w:w="108" w:type="dxa"/>
              <w:right w:w="108" w:type="dxa"/>
            </w:tcMar>
            <w:vAlign w:val="center"/>
          </w:tcPr>
          <w:p>
            <w:pPr>
              <w:spacing w:line="200" w:lineRule="exact"/>
              <w:rPr>
                <w:rFonts w:ascii="黑体" w:hAnsi="黑体" w:eastAsia="黑体"/>
                <w:szCs w:val="21"/>
              </w:rPr>
            </w:pPr>
          </w:p>
        </w:tc>
        <w:tc>
          <w:tcPr>
            <w:tcW w:w="2976" w:type="dxa"/>
            <w:noWrap w:val="0"/>
            <w:tcMar>
              <w:left w:w="108" w:type="dxa"/>
              <w:right w:w="108" w:type="dxa"/>
            </w:tcMar>
            <w:vAlign w:val="center"/>
          </w:tcPr>
          <w:p>
            <w:pPr>
              <w:widowControl/>
              <w:spacing w:line="200" w:lineRule="exact"/>
              <w:rPr>
                <w:rFonts w:ascii="仿宋_GB2312" w:hAnsi="黑体" w:eastAsia="仿宋_GB2312"/>
                <w:szCs w:val="21"/>
              </w:rPr>
            </w:pPr>
            <w:r>
              <w:rPr>
                <w:rFonts w:hint="eastAsia" w:ascii="仿宋_GB2312" w:hAnsi="黑体" w:eastAsia="仿宋_GB2312"/>
                <w:kern w:val="0"/>
                <w:szCs w:val="21"/>
              </w:rPr>
              <w:t>4.无正当理由大量反复申请</w:t>
            </w:r>
          </w:p>
        </w:tc>
        <w:tc>
          <w:tcPr>
            <w:tcW w:w="829" w:type="dxa"/>
            <w:noWrap w:val="0"/>
            <w:tcMar>
              <w:left w:w="108" w:type="dxa"/>
              <w:right w:w="108" w:type="dxa"/>
            </w:tcMar>
            <w:vAlign w:val="center"/>
          </w:tcPr>
          <w:p>
            <w:pPr>
              <w:widowControl/>
              <w:spacing w:after="180" w:line="200" w:lineRule="exact"/>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85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16" w:type="dxa"/>
            <w:vMerge w:val="continue"/>
            <w:noWrap w:val="0"/>
            <w:tcMar>
              <w:left w:w="108" w:type="dxa"/>
              <w:right w:w="108" w:type="dxa"/>
            </w:tcMar>
            <w:vAlign w:val="center"/>
          </w:tcPr>
          <w:p>
            <w:pPr>
              <w:rPr>
                <w:rFonts w:ascii="黑体" w:hAnsi="黑体" w:eastAsia="黑体"/>
                <w:szCs w:val="21"/>
              </w:rPr>
            </w:pPr>
          </w:p>
        </w:tc>
        <w:tc>
          <w:tcPr>
            <w:tcW w:w="1701" w:type="dxa"/>
            <w:vMerge w:val="continue"/>
            <w:noWrap w:val="0"/>
            <w:tcMar>
              <w:left w:w="108" w:type="dxa"/>
              <w:right w:w="108" w:type="dxa"/>
            </w:tcMar>
            <w:vAlign w:val="center"/>
          </w:tcPr>
          <w:p>
            <w:pPr>
              <w:spacing w:line="200" w:lineRule="exact"/>
              <w:rPr>
                <w:rFonts w:ascii="黑体" w:hAnsi="黑体" w:eastAsia="黑体"/>
                <w:szCs w:val="21"/>
              </w:rPr>
            </w:pPr>
          </w:p>
        </w:tc>
        <w:tc>
          <w:tcPr>
            <w:tcW w:w="2976" w:type="dxa"/>
            <w:noWrap w:val="0"/>
            <w:tcMar>
              <w:left w:w="108" w:type="dxa"/>
              <w:right w:w="108" w:type="dxa"/>
            </w:tcMar>
            <w:vAlign w:val="center"/>
          </w:tcPr>
          <w:p>
            <w:pPr>
              <w:widowControl/>
              <w:spacing w:line="300" w:lineRule="exact"/>
              <w:rPr>
                <w:rFonts w:ascii="仿宋_GB2312" w:hAnsi="黑体" w:eastAsia="仿宋_GB2312"/>
                <w:szCs w:val="21"/>
              </w:rPr>
            </w:pPr>
            <w:r>
              <w:rPr>
                <w:rFonts w:hint="eastAsia" w:ascii="仿宋_GB2312" w:hAnsi="黑体" w:eastAsia="仿宋_GB2312"/>
                <w:kern w:val="0"/>
                <w:szCs w:val="21"/>
              </w:rPr>
              <w:t>5.要求行政机关确认或重新出具已获取信息</w:t>
            </w:r>
          </w:p>
        </w:tc>
        <w:tc>
          <w:tcPr>
            <w:tcW w:w="829" w:type="dxa"/>
            <w:noWrap w:val="0"/>
            <w:tcMar>
              <w:left w:w="108" w:type="dxa"/>
              <w:right w:w="108" w:type="dxa"/>
            </w:tcMar>
            <w:vAlign w:val="center"/>
          </w:tcPr>
          <w:p>
            <w:pPr>
              <w:widowControl/>
              <w:spacing w:after="180" w:line="200" w:lineRule="exact"/>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85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16" w:type="dxa"/>
            <w:vMerge w:val="continue"/>
            <w:noWrap w:val="0"/>
            <w:tcMar>
              <w:left w:w="108" w:type="dxa"/>
              <w:right w:w="108" w:type="dxa"/>
            </w:tcMar>
            <w:vAlign w:val="center"/>
          </w:tcPr>
          <w:p>
            <w:pPr>
              <w:rPr>
                <w:rFonts w:ascii="黑体" w:hAnsi="黑体" w:eastAsia="黑体"/>
                <w:szCs w:val="21"/>
              </w:rPr>
            </w:pPr>
          </w:p>
        </w:tc>
        <w:tc>
          <w:tcPr>
            <w:tcW w:w="1701" w:type="dxa"/>
            <w:vMerge w:val="restart"/>
            <w:noWrap w:val="0"/>
            <w:tcMar>
              <w:left w:w="108" w:type="dxa"/>
              <w:right w:w="108" w:type="dxa"/>
            </w:tcMar>
            <w:vAlign w:val="center"/>
          </w:tcPr>
          <w:p>
            <w:pPr>
              <w:widowControl/>
              <w:spacing w:line="300" w:lineRule="exact"/>
              <w:rPr>
                <w:rFonts w:ascii="黑体" w:hAnsi="黑体" w:eastAsia="黑体"/>
                <w:kern w:val="0"/>
                <w:szCs w:val="21"/>
              </w:rPr>
            </w:pPr>
            <w:r>
              <w:rPr>
                <w:rFonts w:hint="eastAsia" w:ascii="黑体" w:hAnsi="黑体" w:eastAsia="黑体"/>
                <w:kern w:val="0"/>
                <w:szCs w:val="21"/>
              </w:rPr>
              <w:t>（六）其他处理</w:t>
            </w:r>
          </w:p>
        </w:tc>
        <w:tc>
          <w:tcPr>
            <w:tcW w:w="2976" w:type="dxa"/>
            <w:noWrap w:val="0"/>
            <w:vAlign w:val="center"/>
          </w:tcPr>
          <w:p>
            <w:pPr>
              <w:widowControl/>
              <w:spacing w:line="300" w:lineRule="exact"/>
              <w:rPr>
                <w:rFonts w:ascii="仿宋_GB2312" w:hAnsi="楷体" w:eastAsia="仿宋_GB2312"/>
              </w:rPr>
            </w:pPr>
            <w:r>
              <w:rPr>
                <w:rFonts w:hint="eastAsia" w:ascii="仿宋_GB2312" w:hAnsi="楷体" w:eastAsia="仿宋_GB2312"/>
              </w:rPr>
              <w:t>1.申请人无正当理由逾期不补正、行政机关不再处理其政府信息公开申请</w:t>
            </w:r>
          </w:p>
        </w:tc>
        <w:tc>
          <w:tcPr>
            <w:tcW w:w="829" w:type="dxa"/>
            <w:noWrap w:val="0"/>
            <w:tcMar>
              <w:left w:w="108" w:type="dxa"/>
              <w:right w:w="108" w:type="dxa"/>
            </w:tcMar>
            <w:vAlign w:val="center"/>
          </w:tcPr>
          <w:p>
            <w:pPr>
              <w:widowControl/>
              <w:spacing w:after="180" w:line="200" w:lineRule="exact"/>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85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16" w:type="dxa"/>
            <w:vMerge w:val="continue"/>
            <w:noWrap w:val="0"/>
            <w:tcMar>
              <w:left w:w="108" w:type="dxa"/>
              <w:right w:w="108" w:type="dxa"/>
            </w:tcMar>
            <w:vAlign w:val="center"/>
          </w:tcPr>
          <w:p>
            <w:pPr>
              <w:rPr>
                <w:rFonts w:ascii="黑体" w:hAnsi="黑体" w:eastAsia="黑体"/>
                <w:szCs w:val="21"/>
              </w:rPr>
            </w:pPr>
          </w:p>
        </w:tc>
        <w:tc>
          <w:tcPr>
            <w:tcW w:w="1701" w:type="dxa"/>
            <w:vMerge w:val="continue"/>
            <w:noWrap w:val="0"/>
            <w:tcMar>
              <w:left w:w="108" w:type="dxa"/>
              <w:right w:w="108" w:type="dxa"/>
            </w:tcMar>
            <w:vAlign w:val="center"/>
          </w:tcPr>
          <w:p>
            <w:pPr>
              <w:widowControl/>
              <w:spacing w:line="300" w:lineRule="exact"/>
              <w:rPr>
                <w:rFonts w:ascii="黑体" w:hAnsi="黑体" w:eastAsia="黑体"/>
                <w:kern w:val="0"/>
                <w:szCs w:val="21"/>
              </w:rPr>
            </w:pPr>
          </w:p>
        </w:tc>
        <w:tc>
          <w:tcPr>
            <w:tcW w:w="2976" w:type="dxa"/>
            <w:noWrap w:val="0"/>
            <w:vAlign w:val="center"/>
          </w:tcPr>
          <w:p>
            <w:pPr>
              <w:widowControl/>
              <w:spacing w:line="300" w:lineRule="exact"/>
              <w:rPr>
                <w:rFonts w:ascii="仿宋_GB2312" w:hAnsi="黑体" w:eastAsia="仿宋_GB2312"/>
                <w:kern w:val="0"/>
                <w:szCs w:val="21"/>
              </w:rPr>
            </w:pPr>
            <w:r>
              <w:rPr>
                <w:rFonts w:hint="eastAsia" w:ascii="仿宋_GB2312" w:hAnsi="楷体" w:eastAsia="仿宋_GB2312"/>
              </w:rPr>
              <w:t>2.申请人逾期未按收费通知要求缴纳费用、行政机关不再处理其政府信息公开申请</w:t>
            </w:r>
          </w:p>
        </w:tc>
        <w:tc>
          <w:tcPr>
            <w:tcW w:w="829" w:type="dxa"/>
            <w:noWrap w:val="0"/>
            <w:tcMar>
              <w:left w:w="108" w:type="dxa"/>
              <w:right w:w="108" w:type="dxa"/>
            </w:tcMar>
            <w:vAlign w:val="center"/>
          </w:tcPr>
          <w:p>
            <w:pPr>
              <w:widowControl/>
              <w:spacing w:after="180" w:line="200" w:lineRule="exact"/>
              <w:jc w:val="center"/>
              <w:rPr>
                <w:rFonts w:hint="default"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85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16" w:type="dxa"/>
            <w:vMerge w:val="continue"/>
            <w:noWrap w:val="0"/>
            <w:tcMar>
              <w:left w:w="108" w:type="dxa"/>
              <w:right w:w="108" w:type="dxa"/>
            </w:tcMar>
            <w:vAlign w:val="center"/>
          </w:tcPr>
          <w:p>
            <w:pPr>
              <w:rPr>
                <w:rFonts w:ascii="黑体" w:hAnsi="黑体" w:eastAsia="黑体"/>
                <w:szCs w:val="21"/>
              </w:rPr>
            </w:pPr>
          </w:p>
        </w:tc>
        <w:tc>
          <w:tcPr>
            <w:tcW w:w="1701" w:type="dxa"/>
            <w:vMerge w:val="continue"/>
            <w:noWrap w:val="0"/>
            <w:tcMar>
              <w:left w:w="108" w:type="dxa"/>
              <w:right w:w="108" w:type="dxa"/>
            </w:tcMar>
            <w:vAlign w:val="center"/>
          </w:tcPr>
          <w:p>
            <w:pPr>
              <w:widowControl/>
              <w:spacing w:line="300" w:lineRule="exact"/>
              <w:rPr>
                <w:rFonts w:ascii="黑体" w:hAnsi="黑体" w:eastAsia="黑体"/>
                <w:kern w:val="0"/>
                <w:szCs w:val="21"/>
              </w:rPr>
            </w:pPr>
          </w:p>
        </w:tc>
        <w:tc>
          <w:tcPr>
            <w:tcW w:w="2976" w:type="dxa"/>
            <w:noWrap w:val="0"/>
            <w:vAlign w:val="center"/>
          </w:tcPr>
          <w:p>
            <w:pPr>
              <w:widowControl/>
              <w:spacing w:line="300" w:lineRule="exact"/>
              <w:rPr>
                <w:rFonts w:ascii="仿宋_GB2312" w:hAnsi="黑体" w:eastAsia="仿宋_GB2312"/>
                <w:kern w:val="0"/>
                <w:szCs w:val="21"/>
              </w:rPr>
            </w:pPr>
            <w:r>
              <w:rPr>
                <w:rFonts w:hint="eastAsia" w:ascii="仿宋_GB2312" w:hAnsi="楷体" w:eastAsia="仿宋_GB2312"/>
              </w:rPr>
              <w:t>3.其他</w:t>
            </w:r>
          </w:p>
        </w:tc>
        <w:tc>
          <w:tcPr>
            <w:tcW w:w="829" w:type="dxa"/>
            <w:noWrap w:val="0"/>
            <w:tcMar>
              <w:left w:w="108" w:type="dxa"/>
              <w:right w:w="108" w:type="dxa"/>
            </w:tcMar>
            <w:vAlign w:val="center"/>
          </w:tcPr>
          <w:p>
            <w:pPr>
              <w:widowControl/>
              <w:spacing w:after="180" w:line="200" w:lineRule="exact"/>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85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16" w:type="dxa"/>
            <w:vMerge w:val="continue"/>
            <w:noWrap w:val="0"/>
            <w:tcMar>
              <w:left w:w="108" w:type="dxa"/>
              <w:right w:w="108" w:type="dxa"/>
            </w:tcMar>
            <w:vAlign w:val="center"/>
          </w:tcPr>
          <w:p>
            <w:pPr>
              <w:rPr>
                <w:rFonts w:ascii="黑体" w:hAnsi="黑体" w:eastAsia="黑体"/>
                <w:szCs w:val="21"/>
              </w:rPr>
            </w:pPr>
          </w:p>
        </w:tc>
        <w:tc>
          <w:tcPr>
            <w:tcW w:w="4677" w:type="dxa"/>
            <w:gridSpan w:val="2"/>
            <w:noWrap w:val="0"/>
            <w:tcMar>
              <w:left w:w="108" w:type="dxa"/>
              <w:right w:w="108" w:type="dxa"/>
            </w:tcMar>
            <w:vAlign w:val="center"/>
          </w:tcPr>
          <w:p>
            <w:pPr>
              <w:widowControl/>
              <w:spacing w:line="300" w:lineRule="exact"/>
              <w:rPr>
                <w:rFonts w:ascii="黑体" w:hAnsi="黑体" w:eastAsia="黑体"/>
                <w:kern w:val="0"/>
                <w:szCs w:val="21"/>
              </w:rPr>
            </w:pPr>
            <w:r>
              <w:rPr>
                <w:rFonts w:hint="eastAsia" w:ascii="黑体" w:hAnsi="黑体" w:eastAsia="黑体"/>
                <w:kern w:val="0"/>
                <w:szCs w:val="21"/>
              </w:rPr>
              <w:t>（七）总计</w:t>
            </w:r>
          </w:p>
        </w:tc>
        <w:tc>
          <w:tcPr>
            <w:tcW w:w="829" w:type="dxa"/>
            <w:noWrap w:val="0"/>
            <w:tcMar>
              <w:left w:w="108" w:type="dxa"/>
              <w:right w:w="108" w:type="dxa"/>
            </w:tcMar>
            <w:vAlign w:val="center"/>
          </w:tcPr>
          <w:p>
            <w:pPr>
              <w:widowControl/>
              <w:spacing w:after="180" w:line="200" w:lineRule="exact"/>
              <w:jc w:val="center"/>
              <w:rPr>
                <w:rFonts w:hint="default" w:ascii="仿宋_GB2312" w:hAnsi="Times New Roman" w:eastAsia="仿宋_GB2312"/>
                <w:szCs w:val="21"/>
                <w:lang w:val="en-US" w:eastAsia="zh-CN"/>
              </w:rPr>
            </w:pPr>
            <w:r>
              <w:rPr>
                <w:rFonts w:hint="eastAsia" w:ascii="仿宋_GB2312" w:hAnsi="Times New Roman" w:eastAsia="仿宋_GB2312"/>
                <w:szCs w:val="21"/>
                <w:lang w:val="en-US" w:eastAsia="zh-CN"/>
              </w:rPr>
              <w:t>13</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szCs w:val="21"/>
              </w:rPr>
            </w:pPr>
            <w:r>
              <w:rPr>
                <w:rFonts w:hint="eastAsia" w:ascii="仿宋_GB2312" w:hAnsi="Times New Roman" w:eastAsia="仿宋_GB2312"/>
                <w:szCs w:val="21"/>
                <w:lang w:val="en-US" w:eastAsia="zh-CN"/>
              </w:rPr>
              <w:t>0</w:t>
            </w:r>
          </w:p>
        </w:tc>
        <w:tc>
          <w:tcPr>
            <w:tcW w:w="851" w:type="dxa"/>
            <w:noWrap w:val="0"/>
            <w:tcMar>
              <w:left w:w="108" w:type="dxa"/>
              <w:right w:w="108" w:type="dxa"/>
            </w:tcMar>
            <w:vAlign w:val="center"/>
          </w:tcPr>
          <w:p>
            <w:pPr>
              <w:widowControl/>
              <w:spacing w:after="180"/>
              <w:jc w:val="center"/>
              <w:rPr>
                <w:rFonts w:hint="default" w:ascii="仿宋_GB2312" w:hAnsi="Times New Roman" w:eastAsia="仿宋_GB2312"/>
                <w:szCs w:val="21"/>
                <w:lang w:val="en-US" w:eastAsia="zh-CN"/>
              </w:rPr>
            </w:pPr>
            <w:r>
              <w:rPr>
                <w:rFonts w:hint="eastAsia" w:ascii="仿宋_GB2312" w:hAnsi="Times New Roman" w:eastAsia="仿宋_GB2312"/>
                <w:szCs w:val="21"/>
                <w:lang w:val="en-US" w:eastAsia="zh-CN"/>
              </w:rPr>
              <w:t>13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5093" w:type="dxa"/>
            <w:gridSpan w:val="3"/>
            <w:noWrap w:val="0"/>
            <w:tcMar>
              <w:left w:w="108" w:type="dxa"/>
              <w:right w:w="108" w:type="dxa"/>
            </w:tcMar>
            <w:vAlign w:val="center"/>
          </w:tcPr>
          <w:p>
            <w:pPr>
              <w:widowControl/>
              <w:spacing w:line="300" w:lineRule="exact"/>
              <w:rPr>
                <w:rFonts w:ascii="黑体" w:hAnsi="黑体" w:eastAsia="黑体"/>
                <w:kern w:val="0"/>
                <w:szCs w:val="21"/>
              </w:rPr>
            </w:pPr>
            <w:r>
              <w:rPr>
                <w:rFonts w:hint="eastAsia" w:ascii="黑体" w:hAnsi="黑体" w:eastAsia="黑体"/>
                <w:kern w:val="0"/>
                <w:szCs w:val="21"/>
              </w:rPr>
              <w:t>四、结转下年度继续办理</w:t>
            </w:r>
          </w:p>
        </w:tc>
        <w:tc>
          <w:tcPr>
            <w:tcW w:w="829" w:type="dxa"/>
            <w:noWrap w:val="0"/>
            <w:tcMar>
              <w:left w:w="108" w:type="dxa"/>
              <w:right w:w="108" w:type="dxa"/>
            </w:tcMar>
            <w:vAlign w:val="center"/>
          </w:tcPr>
          <w:p>
            <w:pPr>
              <w:widowControl/>
              <w:spacing w:after="180" w:line="200" w:lineRule="exact"/>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cs="Times New Roman"/>
                <w:kern w:val="2"/>
                <w:sz w:val="21"/>
                <w:szCs w:val="21"/>
                <w:lang w:val="en-US" w:eastAsia="zh-CN" w:bidi="ar-SA"/>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cs="Times New Roman"/>
                <w:kern w:val="2"/>
                <w:sz w:val="21"/>
                <w:szCs w:val="21"/>
                <w:lang w:val="en-US" w:eastAsia="zh-CN" w:bidi="ar-SA"/>
              </w:rPr>
            </w:pPr>
            <w:r>
              <w:rPr>
                <w:rFonts w:hint="eastAsia" w:ascii="仿宋_GB2312" w:hAnsi="Times New Roman" w:eastAsia="仿宋_GB2312"/>
                <w:szCs w:val="21"/>
                <w:lang w:val="en-US" w:eastAsia="zh-CN"/>
              </w:rPr>
              <w:t>0</w:t>
            </w:r>
          </w:p>
        </w:tc>
        <w:tc>
          <w:tcPr>
            <w:tcW w:w="731" w:type="dxa"/>
            <w:noWrap w:val="0"/>
            <w:tcMar>
              <w:left w:w="108" w:type="dxa"/>
              <w:right w:w="108" w:type="dxa"/>
            </w:tcMar>
            <w:vAlign w:val="center"/>
          </w:tcPr>
          <w:p>
            <w:pPr>
              <w:widowControl/>
              <w:spacing w:after="180"/>
              <w:jc w:val="center"/>
              <w:rPr>
                <w:rFonts w:ascii="仿宋_GB2312" w:hAnsi="Times New Roman" w:eastAsia="仿宋_GB2312" w:cs="Times New Roman"/>
                <w:kern w:val="2"/>
                <w:sz w:val="21"/>
                <w:szCs w:val="21"/>
                <w:lang w:val="en-US" w:eastAsia="zh-CN" w:bidi="ar-SA"/>
              </w:rPr>
            </w:pPr>
            <w:r>
              <w:rPr>
                <w:rFonts w:hint="eastAsia" w:ascii="仿宋_GB2312" w:hAnsi="Times New Roman" w:eastAsia="仿宋_GB2312"/>
                <w:szCs w:val="21"/>
                <w:lang w:val="en-US" w:eastAsia="zh-CN"/>
              </w:rPr>
              <w:t>0</w:t>
            </w:r>
          </w:p>
        </w:tc>
        <w:tc>
          <w:tcPr>
            <w:tcW w:w="708" w:type="dxa"/>
            <w:noWrap w:val="0"/>
            <w:tcMar>
              <w:left w:w="108" w:type="dxa"/>
              <w:right w:w="108" w:type="dxa"/>
            </w:tcMar>
            <w:vAlign w:val="center"/>
          </w:tcPr>
          <w:p>
            <w:pPr>
              <w:widowControl/>
              <w:spacing w:after="180"/>
              <w:jc w:val="center"/>
              <w:rPr>
                <w:rFonts w:ascii="仿宋_GB2312" w:hAnsi="Times New Roman" w:eastAsia="仿宋_GB2312" w:cs="Times New Roman"/>
                <w:kern w:val="2"/>
                <w:sz w:val="21"/>
                <w:szCs w:val="21"/>
                <w:lang w:val="en-US" w:eastAsia="zh-CN" w:bidi="ar-SA"/>
              </w:rPr>
            </w:pPr>
            <w:r>
              <w:rPr>
                <w:rFonts w:hint="eastAsia" w:ascii="仿宋_GB2312" w:hAnsi="Times New Roman" w:eastAsia="仿宋_GB2312"/>
                <w:szCs w:val="21"/>
                <w:lang w:val="en-US" w:eastAsia="zh-CN"/>
              </w:rPr>
              <w:t>0</w:t>
            </w:r>
          </w:p>
        </w:tc>
        <w:tc>
          <w:tcPr>
            <w:tcW w:w="567" w:type="dxa"/>
            <w:noWrap w:val="0"/>
            <w:tcMar>
              <w:left w:w="108" w:type="dxa"/>
              <w:right w:w="108" w:type="dxa"/>
            </w:tcMar>
            <w:vAlign w:val="center"/>
          </w:tcPr>
          <w:p>
            <w:pPr>
              <w:widowControl/>
              <w:spacing w:after="180"/>
              <w:jc w:val="center"/>
              <w:rPr>
                <w:rFonts w:ascii="仿宋_GB2312" w:hAnsi="Times New Roman" w:eastAsia="仿宋_GB2312" w:cs="Times New Roman"/>
                <w:kern w:val="2"/>
                <w:sz w:val="21"/>
                <w:szCs w:val="21"/>
                <w:lang w:val="en-US" w:eastAsia="zh-CN" w:bidi="ar-SA"/>
              </w:rPr>
            </w:pPr>
            <w:r>
              <w:rPr>
                <w:rFonts w:hint="eastAsia" w:ascii="仿宋_GB2312" w:hAnsi="Times New Roman" w:eastAsia="仿宋_GB2312"/>
                <w:szCs w:val="21"/>
                <w:lang w:val="en-US" w:eastAsia="zh-CN"/>
              </w:rPr>
              <w:t>0</w:t>
            </w:r>
          </w:p>
        </w:tc>
        <w:tc>
          <w:tcPr>
            <w:tcW w:w="851" w:type="dxa"/>
            <w:noWrap w:val="0"/>
            <w:tcMar>
              <w:left w:w="108" w:type="dxa"/>
              <w:right w:w="108" w:type="dxa"/>
            </w:tcMar>
            <w:vAlign w:val="center"/>
          </w:tcPr>
          <w:p>
            <w:pPr>
              <w:widowControl/>
              <w:spacing w:after="180"/>
              <w:jc w:val="center"/>
              <w:rPr>
                <w:rFonts w:hint="eastAsia" w:ascii="仿宋_GB2312" w:hAnsi="Times New Roman" w:eastAsia="仿宋_GB2312"/>
                <w:szCs w:val="21"/>
                <w:lang w:val="en-US" w:eastAsia="zh-CN"/>
              </w:rPr>
            </w:pPr>
            <w:r>
              <w:rPr>
                <w:rFonts w:hint="eastAsia" w:ascii="仿宋_GB2312" w:hAnsi="Times New Roman" w:eastAsia="仿宋_GB2312"/>
                <w:szCs w:val="21"/>
                <w:lang w:val="en-US" w:eastAsia="zh-CN"/>
              </w:rPr>
              <w:t>0</w:t>
            </w:r>
          </w:p>
        </w:tc>
      </w:tr>
    </w:tbl>
    <w:p>
      <w:pPr>
        <w:ind w:firstLine="640" w:firstLineChars="200"/>
        <w:rPr>
          <w:rFonts w:ascii="仿宋_GB2312" w:eastAsia="仿宋_GB2312"/>
          <w:sz w:val="32"/>
          <w:szCs w:val="32"/>
        </w:rPr>
      </w:pPr>
    </w:p>
    <w:p>
      <w:pPr>
        <w:jc w:val="left"/>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lang w:eastAsia="zh-CN"/>
        </w:rPr>
        <w:t>四、</w:t>
      </w:r>
      <w:r>
        <w:rPr>
          <w:rFonts w:hint="eastAsia" w:ascii="CESI黑体-GB2312" w:hAnsi="CESI黑体-GB2312" w:eastAsia="CESI黑体-GB2312" w:cs="CESI黑体-GB2312"/>
          <w:sz w:val="32"/>
          <w:szCs w:val="32"/>
        </w:rPr>
        <w:t>政府信息公开行政复议、行政诉讼情况</w:t>
      </w:r>
    </w:p>
    <w:tbl>
      <w:tblPr>
        <w:tblStyle w:val="6"/>
        <w:tblW w:w="9071"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604"/>
        <w:gridCol w:w="604"/>
        <w:gridCol w:w="604"/>
        <w:gridCol w:w="604"/>
        <w:gridCol w:w="658"/>
        <w:gridCol w:w="550"/>
        <w:gridCol w:w="605"/>
        <w:gridCol w:w="605"/>
        <w:gridCol w:w="605"/>
        <w:gridCol w:w="605"/>
        <w:gridCol w:w="605"/>
        <w:gridCol w:w="605"/>
        <w:gridCol w:w="605"/>
        <w:gridCol w:w="606"/>
        <w:gridCol w:w="606"/>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97" w:hRule="atLeast"/>
          <w:jc w:val="center"/>
        </w:trPr>
        <w:tc>
          <w:tcPr>
            <w:tcW w:w="3074" w:type="dxa"/>
            <w:gridSpan w:val="5"/>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widowControl/>
              <w:jc w:val="center"/>
              <w:rPr>
                <w:rFonts w:ascii="黑体" w:hAnsi="黑体" w:eastAsia="黑体"/>
              </w:rPr>
            </w:pPr>
            <w:r>
              <w:rPr>
                <w:rFonts w:ascii="黑体" w:hAnsi="黑体" w:eastAsia="黑体"/>
                <w:kern w:val="0"/>
                <w:sz w:val="20"/>
                <w:szCs w:val="20"/>
              </w:rPr>
              <w:t>行政复议</w:t>
            </w:r>
          </w:p>
        </w:tc>
        <w:tc>
          <w:tcPr>
            <w:tcW w:w="5997" w:type="dxa"/>
            <w:gridSpan w:val="10"/>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jc w:val="center"/>
              <w:rPr>
                <w:rFonts w:ascii="黑体" w:hAnsi="黑体" w:eastAsia="黑体"/>
              </w:rPr>
            </w:pPr>
            <w:r>
              <w:rPr>
                <w:rFonts w:ascii="黑体" w:hAnsi="黑体" w:eastAsia="黑体"/>
                <w:kern w:val="0"/>
                <w:sz w:val="20"/>
                <w:szCs w:val="20"/>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47" w:hRule="atLeast"/>
          <w:jc w:val="center"/>
        </w:trPr>
        <w:tc>
          <w:tcPr>
            <w:tcW w:w="604" w:type="dxa"/>
            <w:vMerge w:val="restart"/>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ind w:left="-149" w:leftChars="-71" w:right="-170" w:rightChars="-81"/>
              <w:jc w:val="center"/>
              <w:rPr>
                <w:rFonts w:ascii="黑体" w:hAnsi="黑体" w:eastAsia="黑体"/>
                <w:kern w:val="0"/>
                <w:sz w:val="20"/>
                <w:szCs w:val="20"/>
              </w:rPr>
            </w:pPr>
            <w:r>
              <w:rPr>
                <w:rFonts w:ascii="黑体" w:hAnsi="黑体" w:eastAsia="黑体"/>
                <w:kern w:val="0"/>
                <w:sz w:val="20"/>
                <w:szCs w:val="20"/>
              </w:rPr>
              <w:t>结果</w:t>
            </w:r>
          </w:p>
          <w:p>
            <w:pPr>
              <w:widowControl/>
              <w:ind w:left="-149" w:leftChars="-71" w:right="-170" w:rightChars="-81"/>
              <w:jc w:val="center"/>
              <w:rPr>
                <w:rFonts w:ascii="黑体" w:hAnsi="黑体" w:eastAsia="黑体"/>
              </w:rPr>
            </w:pPr>
            <w:r>
              <w:rPr>
                <w:rFonts w:ascii="黑体" w:hAnsi="黑体" w:eastAsia="黑体"/>
                <w:kern w:val="0"/>
                <w:sz w:val="20"/>
                <w:szCs w:val="20"/>
              </w:rPr>
              <w:t>维持</w:t>
            </w:r>
          </w:p>
        </w:tc>
        <w:tc>
          <w:tcPr>
            <w:tcW w:w="604" w:type="dxa"/>
            <w:vMerge w:val="restart"/>
            <w:tcBorders>
              <w:top w:val="nil"/>
              <w:left w:val="nil"/>
              <w:bottom w:val="single" w:color="auto" w:sz="8" w:space="0"/>
              <w:right w:val="single" w:color="auto" w:sz="8" w:space="0"/>
            </w:tcBorders>
            <w:noWrap w:val="0"/>
            <w:tcMar>
              <w:left w:w="108" w:type="dxa"/>
              <w:right w:w="108" w:type="dxa"/>
            </w:tcMar>
            <w:vAlign w:val="center"/>
          </w:tcPr>
          <w:p>
            <w:pPr>
              <w:widowControl/>
              <w:ind w:left="-43" w:leftChars="-21" w:right="-132" w:rightChars="-63" w:hanging="1"/>
              <w:jc w:val="center"/>
              <w:rPr>
                <w:rFonts w:ascii="黑体" w:hAnsi="黑体" w:eastAsia="黑体"/>
              </w:rPr>
            </w:pPr>
            <w:r>
              <w:rPr>
                <w:rFonts w:ascii="黑体" w:hAnsi="黑体" w:eastAsia="黑体"/>
                <w:kern w:val="0"/>
                <w:sz w:val="20"/>
                <w:szCs w:val="20"/>
              </w:rPr>
              <w:t>结果纠正</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ind w:left="-82" w:leftChars="-39" w:right="-97" w:rightChars="-46"/>
              <w:jc w:val="center"/>
              <w:rPr>
                <w:rFonts w:ascii="黑体" w:hAnsi="黑体" w:eastAsia="黑体"/>
              </w:rPr>
            </w:pPr>
            <w:r>
              <w:rPr>
                <w:rFonts w:ascii="黑体" w:hAnsi="黑体" w:eastAsia="黑体"/>
                <w:kern w:val="0"/>
                <w:sz w:val="20"/>
                <w:szCs w:val="20"/>
              </w:rPr>
              <w:t>其他结果</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ind w:left="-118" w:leftChars="-56" w:right="-118" w:rightChars="-56"/>
              <w:jc w:val="center"/>
              <w:rPr>
                <w:rFonts w:ascii="黑体" w:hAnsi="黑体" w:eastAsia="黑体"/>
                <w:kern w:val="0"/>
                <w:sz w:val="20"/>
                <w:szCs w:val="20"/>
              </w:rPr>
            </w:pPr>
            <w:r>
              <w:rPr>
                <w:rFonts w:ascii="黑体" w:hAnsi="黑体" w:eastAsia="黑体"/>
                <w:kern w:val="0"/>
                <w:sz w:val="20"/>
                <w:szCs w:val="20"/>
              </w:rPr>
              <w:t>尚未</w:t>
            </w:r>
          </w:p>
          <w:p>
            <w:pPr>
              <w:widowControl/>
              <w:ind w:left="-118" w:leftChars="-56" w:right="-118" w:rightChars="-56"/>
              <w:jc w:val="center"/>
              <w:rPr>
                <w:rFonts w:ascii="黑体" w:hAnsi="黑体" w:eastAsia="黑体"/>
              </w:rPr>
            </w:pPr>
            <w:r>
              <w:rPr>
                <w:rFonts w:ascii="黑体" w:hAnsi="黑体" w:eastAsia="黑体"/>
                <w:kern w:val="0"/>
                <w:sz w:val="20"/>
                <w:szCs w:val="20"/>
              </w:rPr>
              <w:t>审结</w:t>
            </w:r>
          </w:p>
        </w:tc>
        <w:tc>
          <w:tcPr>
            <w:tcW w:w="658"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line="320" w:lineRule="exact"/>
              <w:jc w:val="center"/>
              <w:rPr>
                <w:rFonts w:ascii="黑体" w:hAnsi="黑体" w:eastAsia="黑体"/>
                <w:kern w:val="0"/>
                <w:sz w:val="20"/>
                <w:szCs w:val="20"/>
              </w:rPr>
            </w:pPr>
            <w:r>
              <w:rPr>
                <w:rFonts w:ascii="黑体" w:hAnsi="黑体" w:eastAsia="黑体"/>
                <w:kern w:val="0"/>
                <w:sz w:val="20"/>
                <w:szCs w:val="20"/>
              </w:rPr>
              <w:t>总</w:t>
            </w:r>
          </w:p>
          <w:p>
            <w:pPr>
              <w:widowControl/>
              <w:spacing w:line="320" w:lineRule="exact"/>
              <w:jc w:val="center"/>
              <w:rPr>
                <w:rFonts w:ascii="黑体" w:hAnsi="黑体" w:eastAsia="黑体"/>
              </w:rPr>
            </w:pPr>
            <w:r>
              <w:rPr>
                <w:rFonts w:ascii="黑体" w:hAnsi="黑体" w:eastAsia="黑体"/>
                <w:kern w:val="0"/>
                <w:sz w:val="20"/>
                <w:szCs w:val="20"/>
              </w:rPr>
              <w:t>计</w:t>
            </w:r>
          </w:p>
        </w:tc>
        <w:tc>
          <w:tcPr>
            <w:tcW w:w="2970"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jc w:val="center"/>
              <w:rPr>
                <w:rFonts w:ascii="黑体" w:hAnsi="黑体" w:eastAsia="黑体"/>
              </w:rPr>
            </w:pPr>
            <w:r>
              <w:rPr>
                <w:rFonts w:ascii="黑体" w:hAnsi="黑体" w:eastAsia="黑体"/>
                <w:kern w:val="0"/>
                <w:sz w:val="20"/>
                <w:szCs w:val="20"/>
              </w:rPr>
              <w:t>未经复议直接起诉</w:t>
            </w:r>
          </w:p>
        </w:tc>
        <w:tc>
          <w:tcPr>
            <w:tcW w:w="3027"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jc w:val="center"/>
              <w:rPr>
                <w:rFonts w:ascii="黑体" w:hAnsi="黑体" w:eastAsia="黑体"/>
              </w:rPr>
            </w:pPr>
            <w:bookmarkStart w:id="10" w:name="_Hlk67039688"/>
            <w:r>
              <w:rPr>
                <w:rFonts w:ascii="黑体" w:hAnsi="黑体" w:eastAsia="黑体"/>
                <w:kern w:val="0"/>
                <w:sz w:val="20"/>
                <w:szCs w:val="20"/>
              </w:rPr>
              <w:t>复议后起诉</w:t>
            </w:r>
            <w:bookmarkEnd w:id="10"/>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6" w:hRule="atLeast"/>
          <w:jc w:val="center"/>
        </w:trPr>
        <w:tc>
          <w:tcPr>
            <w:tcW w:w="604" w:type="dxa"/>
            <w:vMerge w:val="continue"/>
            <w:tcBorders>
              <w:top w:val="nil"/>
              <w:left w:val="single" w:color="auto" w:sz="8" w:space="0"/>
              <w:bottom w:val="single" w:color="auto" w:sz="8" w:space="0"/>
              <w:right w:val="single" w:color="auto" w:sz="8" w:space="0"/>
            </w:tcBorders>
            <w:noWrap w:val="0"/>
            <w:tcMar>
              <w:left w:w="108" w:type="dxa"/>
              <w:right w:w="108" w:type="dxa"/>
            </w:tcMar>
            <w:vAlign w:val="center"/>
          </w:tcPr>
          <w:p>
            <w:pPr>
              <w:rPr>
                <w:rFonts w:ascii="黑体" w:hAnsi="黑体" w:eastAsia="黑体"/>
                <w:sz w:val="24"/>
              </w:rPr>
            </w:pPr>
          </w:p>
        </w:tc>
        <w:tc>
          <w:tcPr>
            <w:tcW w:w="604" w:type="dxa"/>
            <w:vMerge w:val="continue"/>
            <w:tcBorders>
              <w:top w:val="nil"/>
              <w:left w:val="nil"/>
              <w:bottom w:val="single" w:color="auto" w:sz="8" w:space="0"/>
              <w:right w:val="single" w:color="auto" w:sz="8" w:space="0"/>
            </w:tcBorders>
            <w:noWrap w:val="0"/>
            <w:tcMar>
              <w:left w:w="108" w:type="dxa"/>
              <w:right w:w="108" w:type="dxa"/>
            </w:tcMar>
            <w:vAlign w:val="center"/>
          </w:tcPr>
          <w:p>
            <w:pPr>
              <w:rPr>
                <w:rFonts w:ascii="黑体" w:hAnsi="黑体" w:eastAsia="黑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ascii="黑体" w:hAnsi="黑体" w:eastAsia="黑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ascii="黑体" w:hAnsi="黑体" w:eastAsia="黑体"/>
                <w:sz w:val="24"/>
              </w:rPr>
            </w:pPr>
          </w:p>
        </w:tc>
        <w:tc>
          <w:tcPr>
            <w:tcW w:w="658"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ascii="黑体" w:hAnsi="黑体" w:eastAsia="黑体"/>
                <w:sz w:val="24"/>
              </w:rPr>
            </w:pPr>
          </w:p>
        </w:tc>
        <w:tc>
          <w:tcPr>
            <w:tcW w:w="550" w:type="dxa"/>
            <w:tcBorders>
              <w:top w:val="nil"/>
              <w:left w:val="nil"/>
              <w:bottom w:val="single" w:color="auto" w:sz="8" w:space="0"/>
              <w:right w:val="single" w:color="auto" w:sz="8" w:space="0"/>
            </w:tcBorders>
            <w:noWrap w:val="0"/>
            <w:tcMar>
              <w:left w:w="108" w:type="dxa"/>
              <w:right w:w="108" w:type="dxa"/>
            </w:tcMar>
            <w:vAlign w:val="center"/>
          </w:tcPr>
          <w:p>
            <w:pPr>
              <w:widowControl/>
              <w:ind w:left="-105" w:leftChars="-50" w:right="-126" w:rightChars="-60"/>
              <w:jc w:val="center"/>
              <w:rPr>
                <w:rFonts w:ascii="黑体" w:hAnsi="黑体" w:eastAsia="黑体"/>
              </w:rPr>
            </w:pPr>
            <w:r>
              <w:rPr>
                <w:rFonts w:ascii="黑体" w:hAnsi="黑体" w:eastAsia="黑体"/>
                <w:kern w:val="0"/>
                <w:sz w:val="20"/>
                <w:szCs w:val="20"/>
              </w:rPr>
              <w:t>结果维持</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ind w:left="-86" w:leftChars="-41" w:right="-88" w:rightChars="-42"/>
              <w:jc w:val="center"/>
              <w:rPr>
                <w:rFonts w:ascii="黑体" w:hAnsi="黑体" w:eastAsia="黑体"/>
              </w:rPr>
            </w:pPr>
            <w:r>
              <w:rPr>
                <w:rFonts w:ascii="黑体" w:hAnsi="黑体" w:eastAsia="黑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ind w:left="-126" w:leftChars="-60" w:right="-136" w:rightChars="-65"/>
              <w:jc w:val="center"/>
              <w:rPr>
                <w:rFonts w:ascii="黑体" w:hAnsi="黑体" w:eastAsia="黑体"/>
                <w:kern w:val="0"/>
                <w:sz w:val="20"/>
                <w:szCs w:val="20"/>
              </w:rPr>
            </w:pPr>
            <w:r>
              <w:rPr>
                <w:rFonts w:ascii="黑体" w:hAnsi="黑体" w:eastAsia="黑体"/>
                <w:kern w:val="0"/>
                <w:sz w:val="20"/>
                <w:szCs w:val="20"/>
              </w:rPr>
              <w:t>其他</w:t>
            </w:r>
          </w:p>
          <w:p>
            <w:pPr>
              <w:widowControl/>
              <w:ind w:left="-126" w:leftChars="-60" w:right="-136" w:rightChars="-65"/>
              <w:jc w:val="center"/>
              <w:rPr>
                <w:rFonts w:ascii="黑体" w:hAnsi="黑体" w:eastAsia="黑体"/>
              </w:rPr>
            </w:pPr>
            <w:r>
              <w:rPr>
                <w:rFonts w:ascii="黑体" w:hAnsi="黑体" w:eastAsia="黑体"/>
                <w:kern w:val="0"/>
                <w:sz w:val="20"/>
                <w:szCs w:val="20"/>
              </w:rPr>
              <w:t>结果</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ind w:left="-164" w:leftChars="-78" w:right="-153" w:rightChars="-73"/>
              <w:jc w:val="center"/>
              <w:rPr>
                <w:rFonts w:ascii="黑体" w:hAnsi="黑体" w:eastAsia="黑体"/>
                <w:kern w:val="0"/>
                <w:sz w:val="20"/>
                <w:szCs w:val="20"/>
              </w:rPr>
            </w:pPr>
            <w:r>
              <w:rPr>
                <w:rFonts w:ascii="黑体" w:hAnsi="黑体" w:eastAsia="黑体"/>
                <w:kern w:val="0"/>
                <w:sz w:val="20"/>
                <w:szCs w:val="20"/>
              </w:rPr>
              <w:t>尚未</w:t>
            </w:r>
          </w:p>
          <w:p>
            <w:pPr>
              <w:widowControl/>
              <w:ind w:left="-164" w:leftChars="-78" w:right="-153" w:rightChars="-73"/>
              <w:jc w:val="center"/>
              <w:rPr>
                <w:rFonts w:ascii="黑体" w:hAnsi="黑体" w:eastAsia="黑体"/>
              </w:rPr>
            </w:pPr>
            <w:r>
              <w:rPr>
                <w:rFonts w:ascii="黑体" w:hAnsi="黑体" w:eastAsia="黑体"/>
                <w:kern w:val="0"/>
                <w:sz w:val="20"/>
                <w:szCs w:val="20"/>
              </w:rPr>
              <w:t>审结</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jc w:val="center"/>
              <w:rPr>
                <w:rFonts w:ascii="黑体" w:hAnsi="黑体" w:eastAsia="黑体"/>
              </w:rPr>
            </w:pPr>
            <w:r>
              <w:rPr>
                <w:rFonts w:ascii="黑体" w:hAnsi="黑体" w:eastAsia="黑体"/>
                <w:kern w:val="0"/>
                <w:sz w:val="20"/>
                <w:szCs w:val="20"/>
              </w:rPr>
              <w:t>总计</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ind w:left="-99" w:leftChars="-47" w:right="-78" w:rightChars="-37"/>
              <w:jc w:val="center"/>
              <w:rPr>
                <w:rFonts w:ascii="黑体" w:hAnsi="黑体" w:eastAsia="黑体"/>
              </w:rPr>
            </w:pPr>
            <w:r>
              <w:rPr>
                <w:rFonts w:ascii="黑体" w:hAnsi="黑体" w:eastAsia="黑体"/>
                <w:kern w:val="0"/>
                <w:sz w:val="20"/>
                <w:szCs w:val="20"/>
              </w:rPr>
              <w:t>结果维持</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ind w:left="-136" w:leftChars="-65" w:right="-124" w:rightChars="-59"/>
              <w:jc w:val="center"/>
              <w:rPr>
                <w:rFonts w:ascii="黑体" w:hAnsi="黑体" w:eastAsia="黑体"/>
                <w:kern w:val="0"/>
                <w:sz w:val="20"/>
                <w:szCs w:val="20"/>
              </w:rPr>
            </w:pPr>
            <w:r>
              <w:rPr>
                <w:rFonts w:ascii="黑体" w:hAnsi="黑体" w:eastAsia="黑体"/>
                <w:kern w:val="0"/>
                <w:sz w:val="20"/>
                <w:szCs w:val="20"/>
              </w:rPr>
              <w:t>结果</w:t>
            </w:r>
          </w:p>
          <w:p>
            <w:pPr>
              <w:widowControl/>
              <w:ind w:left="-136" w:leftChars="-65" w:right="-124" w:rightChars="-59"/>
              <w:jc w:val="center"/>
              <w:rPr>
                <w:rFonts w:ascii="黑体" w:hAnsi="黑体" w:eastAsia="黑体"/>
              </w:rPr>
            </w:pPr>
            <w:r>
              <w:rPr>
                <w:rFonts w:ascii="黑体" w:hAnsi="黑体" w:eastAsia="黑体"/>
                <w:kern w:val="0"/>
                <w:sz w:val="20"/>
                <w:szCs w:val="20"/>
              </w:rPr>
              <w:t>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ind w:left="-173" w:leftChars="-83" w:right="-134" w:rightChars="-64" w:hanging="1"/>
              <w:jc w:val="center"/>
              <w:rPr>
                <w:rFonts w:ascii="黑体" w:hAnsi="黑体" w:eastAsia="黑体"/>
                <w:kern w:val="0"/>
                <w:sz w:val="20"/>
                <w:szCs w:val="20"/>
              </w:rPr>
            </w:pPr>
            <w:r>
              <w:rPr>
                <w:rFonts w:ascii="黑体" w:hAnsi="黑体" w:eastAsia="黑体"/>
                <w:kern w:val="0"/>
                <w:sz w:val="20"/>
                <w:szCs w:val="20"/>
              </w:rPr>
              <w:t>其他</w:t>
            </w:r>
          </w:p>
          <w:p>
            <w:pPr>
              <w:widowControl/>
              <w:ind w:left="-173" w:leftChars="-83" w:right="-134" w:rightChars="-64" w:hanging="1"/>
              <w:jc w:val="center"/>
              <w:rPr>
                <w:rFonts w:ascii="黑体" w:hAnsi="黑体" w:eastAsia="黑体"/>
              </w:rPr>
            </w:pPr>
            <w:r>
              <w:rPr>
                <w:rFonts w:ascii="黑体" w:hAnsi="黑体" w:eastAsia="黑体"/>
                <w:kern w:val="0"/>
                <w:sz w:val="20"/>
                <w:szCs w:val="20"/>
              </w:rPr>
              <w:t>结果</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ind w:left="-67" w:leftChars="-33" w:right="-105" w:rightChars="-50" w:hanging="2" w:hangingChars="1"/>
              <w:jc w:val="center"/>
              <w:rPr>
                <w:rFonts w:ascii="黑体" w:hAnsi="黑体" w:eastAsia="黑体"/>
              </w:rPr>
            </w:pPr>
            <w:r>
              <w:rPr>
                <w:rFonts w:ascii="黑体" w:hAnsi="黑体" w:eastAsia="黑体"/>
                <w:kern w:val="0"/>
                <w:sz w:val="20"/>
                <w:szCs w:val="20"/>
              </w:rPr>
              <w:t>尚未审结</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jc w:val="center"/>
              <w:rPr>
                <w:rFonts w:ascii="黑体" w:hAnsi="黑体" w:eastAsia="黑体"/>
              </w:rPr>
            </w:pPr>
            <w:r>
              <w:rPr>
                <w:rFonts w:ascii="黑体" w:hAnsi="黑体" w:eastAsia="黑体"/>
                <w:kern w:val="0"/>
                <w:sz w:val="20"/>
                <w:szCs w:val="20"/>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21"/>
                <w:szCs w:val="21"/>
                <w:lang w:val="en-US" w:eastAsia="zh-CN" w:bidi="ar-SA"/>
              </w:rPr>
            </w:pPr>
            <w:r>
              <w:rPr>
                <w:rFonts w:hint="eastAsia" w:ascii="仿宋_GB2312" w:hAnsi="Times New Roman" w:eastAsia="仿宋_GB2312"/>
                <w:szCs w:val="21"/>
                <w:lang w:val="en-US" w:eastAsia="zh-CN"/>
              </w:rPr>
              <w:t>0</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21"/>
                <w:szCs w:val="21"/>
                <w:lang w:val="en-US" w:eastAsia="zh-CN" w:bidi="ar-SA"/>
              </w:rPr>
            </w:pPr>
            <w:r>
              <w:rPr>
                <w:rFonts w:hint="eastAsia" w:ascii="仿宋_GB2312" w:hAnsi="Times New Roman" w:eastAsia="仿宋_GB2312"/>
                <w:szCs w:val="21"/>
                <w:lang w:val="en-US" w:eastAsia="zh-CN"/>
              </w:rPr>
              <w:t>0</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21"/>
                <w:szCs w:val="21"/>
                <w:lang w:val="en-US" w:eastAsia="zh-CN" w:bidi="ar-SA"/>
              </w:rPr>
            </w:pPr>
            <w:r>
              <w:rPr>
                <w:rFonts w:hint="eastAsia" w:ascii="仿宋_GB2312" w:hAnsi="Times New Roman" w:eastAsia="仿宋_GB2312"/>
                <w:szCs w:val="21"/>
                <w:lang w:val="en-US" w:eastAsia="zh-CN"/>
              </w:rPr>
              <w:t>0</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21"/>
                <w:szCs w:val="21"/>
                <w:lang w:val="en-US" w:eastAsia="zh-CN" w:bidi="ar-SA"/>
              </w:rPr>
            </w:pPr>
            <w:r>
              <w:rPr>
                <w:rFonts w:hint="eastAsia" w:ascii="仿宋_GB2312" w:hAnsi="Times New Roman" w:eastAsia="仿宋_GB2312"/>
                <w:szCs w:val="21"/>
                <w:lang w:val="en-US" w:eastAsia="zh-CN"/>
              </w:rPr>
              <w:t>0</w:t>
            </w:r>
          </w:p>
        </w:tc>
        <w:tc>
          <w:tcPr>
            <w:tcW w:w="658"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21"/>
                <w:szCs w:val="21"/>
                <w:lang w:val="en-US" w:eastAsia="zh-CN" w:bidi="ar-SA"/>
              </w:rPr>
            </w:pPr>
            <w:r>
              <w:rPr>
                <w:rFonts w:hint="eastAsia" w:ascii="仿宋_GB2312" w:hAnsi="Times New Roman" w:eastAsia="仿宋_GB2312"/>
                <w:szCs w:val="21"/>
                <w:lang w:val="en-US" w:eastAsia="zh-CN"/>
              </w:rPr>
              <w:t>0</w:t>
            </w:r>
          </w:p>
        </w:tc>
        <w:tc>
          <w:tcPr>
            <w:tcW w:w="550"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21"/>
                <w:szCs w:val="21"/>
                <w:lang w:val="en-US" w:eastAsia="zh-CN" w:bidi="ar-SA"/>
              </w:rPr>
            </w:pPr>
            <w:r>
              <w:rPr>
                <w:rFonts w:hint="eastAsia" w:ascii="仿宋_GB2312" w:hAnsi="Times New Roman" w:eastAsia="仿宋_GB2312"/>
                <w:szCs w:val="21"/>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21"/>
                <w:szCs w:val="21"/>
                <w:lang w:val="en-US" w:eastAsia="zh-CN" w:bidi="ar-SA"/>
              </w:rPr>
            </w:pPr>
            <w:r>
              <w:rPr>
                <w:rFonts w:hint="eastAsia" w:ascii="仿宋_GB2312" w:hAnsi="Times New Roman" w:eastAsia="仿宋_GB2312"/>
                <w:szCs w:val="21"/>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21"/>
                <w:szCs w:val="21"/>
                <w:lang w:val="en-US" w:eastAsia="zh-CN" w:bidi="ar-SA"/>
              </w:rPr>
            </w:pPr>
            <w:r>
              <w:rPr>
                <w:rFonts w:hint="eastAsia" w:ascii="仿宋_GB2312" w:hAnsi="Times New Roman" w:eastAsia="仿宋_GB2312"/>
                <w:szCs w:val="21"/>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21"/>
                <w:szCs w:val="21"/>
                <w:lang w:val="en-US" w:eastAsia="zh-CN" w:bidi="ar-SA"/>
              </w:rPr>
            </w:pPr>
            <w:r>
              <w:rPr>
                <w:rFonts w:hint="eastAsia" w:ascii="仿宋_GB2312" w:hAnsi="Times New Roman" w:eastAsia="仿宋_GB2312"/>
                <w:szCs w:val="21"/>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21"/>
                <w:szCs w:val="21"/>
                <w:lang w:val="en-US" w:eastAsia="zh-CN" w:bidi="ar-SA"/>
              </w:rPr>
            </w:pPr>
            <w:r>
              <w:rPr>
                <w:rFonts w:hint="eastAsia" w:ascii="仿宋_GB2312" w:hAnsi="Times New Roman" w:eastAsia="仿宋_GB2312"/>
                <w:szCs w:val="21"/>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21"/>
                <w:szCs w:val="21"/>
                <w:lang w:val="en-US" w:eastAsia="zh-CN" w:bidi="ar-SA"/>
              </w:rPr>
            </w:pPr>
            <w:r>
              <w:rPr>
                <w:rFonts w:hint="eastAsia" w:ascii="仿宋_GB2312" w:hAnsi="Times New Roman" w:eastAsia="仿宋_GB2312"/>
                <w:szCs w:val="21"/>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21"/>
                <w:szCs w:val="21"/>
                <w:lang w:val="en-US" w:eastAsia="zh-CN" w:bidi="ar-SA"/>
              </w:rPr>
            </w:pPr>
            <w:r>
              <w:rPr>
                <w:rFonts w:hint="eastAsia" w:ascii="仿宋_GB2312" w:hAnsi="Times New Roman" w:eastAsia="仿宋_GB2312"/>
                <w:szCs w:val="21"/>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21"/>
                <w:szCs w:val="21"/>
                <w:lang w:val="en-US" w:eastAsia="zh-CN" w:bidi="ar-SA"/>
              </w:rPr>
            </w:pPr>
            <w:r>
              <w:rPr>
                <w:rFonts w:hint="eastAsia" w:ascii="仿宋_GB2312" w:hAnsi="Times New Roman" w:eastAsia="仿宋_GB2312"/>
                <w:szCs w:val="21"/>
                <w:lang w:val="en-US" w:eastAsia="zh-CN"/>
              </w:rPr>
              <w:t>0</w:t>
            </w:r>
          </w:p>
        </w:tc>
        <w:tc>
          <w:tcPr>
            <w:tcW w:w="606"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21"/>
                <w:szCs w:val="21"/>
                <w:lang w:val="en-US" w:eastAsia="zh-CN" w:bidi="ar-SA"/>
              </w:rPr>
            </w:pPr>
            <w:r>
              <w:rPr>
                <w:rFonts w:hint="eastAsia" w:ascii="仿宋_GB2312" w:hAnsi="Times New Roman" w:eastAsia="仿宋_GB2312"/>
                <w:szCs w:val="21"/>
                <w:lang w:val="en-US" w:eastAsia="zh-CN"/>
              </w:rPr>
              <w:t>0</w:t>
            </w:r>
          </w:p>
        </w:tc>
        <w:tc>
          <w:tcPr>
            <w:tcW w:w="606"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21"/>
                <w:szCs w:val="21"/>
                <w:lang w:val="en-US" w:eastAsia="zh-CN" w:bidi="ar-SA"/>
              </w:rPr>
            </w:pPr>
            <w:r>
              <w:rPr>
                <w:rFonts w:hint="eastAsia" w:ascii="仿宋_GB2312" w:hAnsi="Times New Roman" w:eastAsia="仿宋_GB2312"/>
                <w:szCs w:val="21"/>
                <w:lang w:val="en-US" w:eastAsia="zh-CN"/>
              </w:rPr>
              <w:t>0</w:t>
            </w:r>
          </w:p>
        </w:tc>
      </w:tr>
    </w:tbl>
    <w:p>
      <w:pPr>
        <w:ind w:firstLine="640" w:firstLineChars="200"/>
        <w:rPr>
          <w:rFonts w:ascii="仿宋_GB2312" w:eastAsia="仿宋_GB2312"/>
          <w:sz w:val="32"/>
          <w:szCs w:val="32"/>
        </w:rPr>
      </w:pPr>
    </w:p>
    <w:p>
      <w:pPr>
        <w:pStyle w:val="2"/>
        <w:numPr>
          <w:ilvl w:val="0"/>
          <w:numId w:val="0"/>
        </w:numPr>
        <w:spacing w:before="0" w:after="0" w:line="240" w:lineRule="auto"/>
        <w:ind w:firstLine="640" w:firstLineChars="200"/>
        <w:rPr>
          <w:rFonts w:hint="eastAsia" w:ascii="CESI黑体-GB2312" w:hAnsi="CESI黑体-GB2312" w:eastAsia="CESI黑体-GB2312" w:cs="CESI黑体-GB2312"/>
          <w:b w:val="0"/>
          <w:bCs w:val="0"/>
        </w:rPr>
      </w:pPr>
      <w:r>
        <w:rPr>
          <w:rFonts w:hint="eastAsia" w:ascii="CESI黑体-GB2312" w:hAnsi="CESI黑体-GB2312" w:eastAsia="CESI黑体-GB2312" w:cs="CESI黑体-GB2312"/>
          <w:b w:val="0"/>
          <w:bCs w:val="0"/>
          <w:lang w:eastAsia="zh-CN"/>
        </w:rPr>
        <w:t>五、</w:t>
      </w:r>
      <w:r>
        <w:rPr>
          <w:rFonts w:hint="eastAsia" w:ascii="CESI黑体-GB2312" w:hAnsi="CESI黑体-GB2312" w:eastAsia="CESI黑体-GB2312" w:cs="CESI黑体-GB2312"/>
          <w:b w:val="0"/>
          <w:bCs w:val="0"/>
        </w:rPr>
        <w:t>存在的主要问题及改进情况</w:t>
      </w:r>
    </w:p>
    <w:p>
      <w:pPr>
        <w:ind w:firstLine="642" w:firstLineChars="200"/>
        <w:rPr>
          <w:rFonts w:hint="eastAsia" w:ascii="楷体" w:hAnsi="楷体" w:eastAsia="楷体" w:cs="楷体"/>
          <w:b/>
          <w:bCs/>
          <w:color w:val="auto"/>
          <w:sz w:val="32"/>
          <w:szCs w:val="32"/>
          <w:lang w:val="en-US" w:eastAsia="zh-CN"/>
        </w:rPr>
      </w:pPr>
      <w:r>
        <w:rPr>
          <w:rFonts w:hint="eastAsia" w:ascii="楷体" w:hAnsi="楷体" w:eastAsia="楷体" w:cs="楷体"/>
          <w:b/>
          <w:bCs/>
          <w:color w:val="auto"/>
          <w:sz w:val="32"/>
          <w:szCs w:val="32"/>
          <w:lang w:val="en-US" w:eastAsia="zh-CN"/>
        </w:rPr>
        <w:t>（一）存在的主要问题</w:t>
      </w:r>
    </w:p>
    <w:p>
      <w:pPr>
        <w:numPr>
          <w:ilvl w:val="0"/>
          <w:numId w:val="0"/>
        </w:numPr>
        <w:ind w:firstLine="640" w:firstLineChars="200"/>
        <w:rPr>
          <w:rFonts w:hint="eastAsia"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各科室政务公开业务能力有待提升。比如公开重大行政决策事项目录中涉及我科局的重大决策项目的意见征集，需要我单位向县政务公开办公室提供相关通知公告、草案内容、解读、政策依据等内容，但是由于业务科室对公开要求不了解，不满足政务公开需求，往往提供的文件需要重新修改多次报送，影响工作效率。</w:t>
      </w:r>
    </w:p>
    <w:p>
      <w:pPr>
        <w:numPr>
          <w:ilvl w:val="0"/>
          <w:numId w:val="0"/>
        </w:numPr>
        <w:ind w:firstLine="642" w:firstLineChars="200"/>
        <w:rPr>
          <w:rFonts w:hint="eastAsia" w:ascii="楷体" w:hAnsi="楷体" w:eastAsia="楷体" w:cs="楷体"/>
          <w:b/>
          <w:bCs/>
          <w:color w:val="auto"/>
          <w:sz w:val="32"/>
          <w:szCs w:val="32"/>
          <w:lang w:val="en-US" w:eastAsia="zh-CN"/>
        </w:rPr>
      </w:pPr>
      <w:r>
        <w:rPr>
          <w:rFonts w:hint="eastAsia" w:ascii="楷体" w:hAnsi="楷体" w:eastAsia="楷体" w:cs="楷体"/>
          <w:b/>
          <w:bCs/>
          <w:color w:val="auto"/>
          <w:sz w:val="32"/>
          <w:szCs w:val="32"/>
          <w:lang w:val="en-US" w:eastAsia="zh-CN"/>
        </w:rPr>
        <w:t>（二）改进情况</w:t>
      </w:r>
    </w:p>
    <w:p>
      <w:pPr>
        <w:numPr>
          <w:ilvl w:val="0"/>
          <w:numId w:val="0"/>
        </w:numPr>
        <w:ind w:firstLine="642" w:firstLineChars="200"/>
        <w:rPr>
          <w:rFonts w:hint="default" w:ascii="楷体" w:hAnsi="楷体" w:eastAsia="楷体" w:cs="楷体"/>
          <w:b/>
          <w:bCs/>
          <w:color w:val="0000FF"/>
          <w:sz w:val="32"/>
          <w:szCs w:val="32"/>
          <w:lang w:val="en-US" w:eastAsia="zh-CN"/>
        </w:rPr>
      </w:pPr>
      <w:r>
        <w:rPr>
          <w:rFonts w:hint="eastAsia" w:ascii="仿宋_GB2312" w:eastAsia="仿宋_GB2312"/>
          <w:b/>
          <w:bCs/>
          <w:sz w:val="32"/>
          <w:szCs w:val="32"/>
          <w:lang w:val="en-US" w:eastAsia="zh-CN"/>
        </w:rPr>
        <w:t>一是</w:t>
      </w:r>
      <w:r>
        <w:rPr>
          <w:rFonts w:hint="eastAsia" w:ascii="仿宋_GB2312" w:eastAsia="仿宋_GB2312"/>
          <w:b w:val="0"/>
          <w:bCs w:val="0"/>
          <w:sz w:val="32"/>
          <w:szCs w:val="32"/>
          <w:lang w:val="en-US" w:eastAsia="zh-CN"/>
        </w:rPr>
        <w:t>通过召开会议、深入研究分析，根据</w:t>
      </w:r>
      <w:r>
        <w:rPr>
          <w:rFonts w:hint="eastAsia" w:ascii="仿宋_GB2312" w:eastAsia="仿宋_GB2312"/>
          <w:sz w:val="32"/>
          <w:szCs w:val="32"/>
          <w:lang w:eastAsia="zh-CN"/>
        </w:rPr>
        <w:t>《冠县</w:t>
      </w:r>
      <w:r>
        <w:rPr>
          <w:rFonts w:hint="eastAsia" w:ascii="仿宋_GB2312" w:eastAsia="仿宋_GB2312"/>
          <w:sz w:val="32"/>
          <w:szCs w:val="32"/>
          <w:lang w:val="en-US" w:eastAsia="zh-CN"/>
        </w:rPr>
        <w:t>自然资源和规划局2021年政务公开工作实施方案</w:t>
      </w:r>
      <w:r>
        <w:rPr>
          <w:rFonts w:hint="eastAsia" w:ascii="仿宋_GB2312" w:eastAsia="仿宋_GB2312"/>
          <w:sz w:val="32"/>
          <w:szCs w:val="32"/>
          <w:lang w:eastAsia="zh-CN"/>
        </w:rPr>
        <w:t>》</w:t>
      </w:r>
      <w:r>
        <w:rPr>
          <w:rFonts w:hint="eastAsia" w:ascii="仿宋_GB2312" w:eastAsia="仿宋_GB2312"/>
          <w:b w:val="0"/>
          <w:bCs w:val="0"/>
          <w:sz w:val="32"/>
          <w:szCs w:val="32"/>
          <w:lang w:val="en-US" w:eastAsia="zh-CN"/>
        </w:rPr>
        <w:t>及《主动公开基本目录》，明确各项公开内容的责任科室，并指定专人具体负责，目前，基本形成各负其责、不拖不推、渠道顺畅、办理高效的工作模式，可做到按照县政府要求的质量按时完成工作。</w:t>
      </w:r>
      <w:r>
        <w:rPr>
          <w:rFonts w:hint="eastAsia" w:ascii="仿宋_GB2312" w:eastAsia="仿宋_GB2312"/>
          <w:b/>
          <w:bCs/>
          <w:sz w:val="32"/>
          <w:szCs w:val="32"/>
          <w:lang w:val="en-US" w:eastAsia="zh-CN"/>
        </w:rPr>
        <w:t>二是</w:t>
      </w:r>
      <w:r>
        <w:rPr>
          <w:rFonts w:hint="eastAsia" w:ascii="仿宋_GB2312" w:eastAsia="仿宋_GB2312"/>
          <w:b w:val="0"/>
          <w:bCs w:val="0"/>
          <w:sz w:val="32"/>
          <w:szCs w:val="32"/>
          <w:lang w:val="en-US" w:eastAsia="zh-CN"/>
        </w:rPr>
        <w:t>通过学习《政府信息公开条例》、组织业务培训、加强与市局、县政府政务公开办公室沟通交流等方式，由牵头科室梳理好任务并下发，同时做好业务指导，各科室上报后再审核把关，目前，各科室对各自负责事项基本可做到妥善处理，公开质量逐渐提高。</w:t>
      </w:r>
    </w:p>
    <w:p>
      <w:pPr>
        <w:pStyle w:val="2"/>
        <w:numPr>
          <w:ilvl w:val="0"/>
          <w:numId w:val="0"/>
        </w:numPr>
        <w:spacing w:before="0" w:after="0" w:line="240" w:lineRule="auto"/>
        <w:ind w:firstLine="642" w:firstLineChars="200"/>
        <w:rPr>
          <w:rFonts w:hint="eastAsia" w:ascii="CESI黑体-GB2312" w:hAnsi="CESI黑体-GB2312" w:eastAsia="CESI黑体-GB2312" w:cs="CESI黑体-GB2312"/>
          <w:b w:val="0"/>
          <w:bCs w:val="0"/>
        </w:rPr>
      </w:pPr>
      <w:r>
        <w:rPr>
          <w:rFonts w:hint="eastAsia" w:ascii="仿宋_GB2312" w:eastAsia="仿宋_GB2312"/>
          <w:b/>
          <w:bCs/>
          <w:color w:val="0000FF"/>
          <w:sz w:val="32"/>
          <w:szCs w:val="32"/>
          <w:u w:val="none"/>
          <w:lang w:val="en-US" w:eastAsia="zh-CN"/>
        </w:rPr>
        <w:t xml:space="preserve"> </w:t>
      </w:r>
      <w:r>
        <w:rPr>
          <w:rFonts w:hint="eastAsia" w:ascii="CESI黑体-GB2312" w:hAnsi="CESI黑体-GB2312" w:eastAsia="CESI黑体-GB2312" w:cs="CESI黑体-GB2312"/>
          <w:b w:val="0"/>
          <w:bCs w:val="0"/>
          <w:lang w:eastAsia="zh-CN"/>
        </w:rPr>
        <w:t>六、</w:t>
      </w:r>
      <w:r>
        <w:rPr>
          <w:rFonts w:hint="eastAsia" w:ascii="CESI黑体-GB2312" w:hAnsi="CESI黑体-GB2312" w:eastAsia="CESI黑体-GB2312" w:cs="CESI黑体-GB2312"/>
          <w:b w:val="0"/>
          <w:bCs w:val="0"/>
        </w:rPr>
        <w:t>其他需要报告的事项</w:t>
      </w:r>
    </w:p>
    <w:p>
      <w:pPr>
        <w:ind w:firstLine="640" w:firstLineChars="200"/>
        <w:rPr>
          <w:rFonts w:hint="eastAsia" w:ascii="CESI楷体-GB2312" w:hAnsi="CESI楷体-GB2312" w:eastAsia="CESI楷体-GB2312" w:cs="CESI楷体-GB2312"/>
          <w:b/>
          <w:bCs/>
          <w:sz w:val="32"/>
          <w:szCs w:val="32"/>
          <w:lang w:eastAsia="zh-CN"/>
        </w:rPr>
      </w:pPr>
      <w:r>
        <w:rPr>
          <w:rFonts w:hint="eastAsia" w:ascii="CESI楷体-GB2312" w:hAnsi="CESI楷体-GB2312" w:eastAsia="CESI楷体-GB2312" w:cs="CESI楷体-GB2312"/>
          <w:b/>
          <w:bCs/>
          <w:sz w:val="32"/>
          <w:szCs w:val="32"/>
          <w:lang w:eastAsia="zh-CN"/>
        </w:rPr>
        <w:t>（一）收取信息处理费情况</w:t>
      </w:r>
    </w:p>
    <w:p>
      <w:pPr>
        <w:ind w:firstLine="640" w:firstLineChars="200"/>
        <w:rPr>
          <w:rFonts w:hint="eastAsia" w:ascii="仿宋_GB2312" w:eastAsia="仿宋_GB2312"/>
          <w:sz w:val="32"/>
          <w:szCs w:val="32"/>
          <w:lang w:eastAsia="zh-CN"/>
        </w:rPr>
      </w:pPr>
      <w:r>
        <w:rPr>
          <w:rFonts w:hint="eastAsia" w:ascii="仿宋_GB2312" w:eastAsia="仿宋_GB2312"/>
          <w:sz w:val="32"/>
          <w:szCs w:val="32"/>
          <w:lang w:eastAsia="zh-CN"/>
        </w:rPr>
        <w:t>本年度依申请公开政府信息未收取任何费用。</w:t>
      </w:r>
    </w:p>
    <w:p>
      <w:pPr>
        <w:ind w:firstLine="640" w:firstLineChars="200"/>
        <w:rPr>
          <w:rFonts w:hint="eastAsia" w:ascii="CESI楷体-GB2312" w:hAnsi="CESI楷体-GB2312" w:eastAsia="CESI楷体-GB2312" w:cs="CESI楷体-GB2312"/>
          <w:b/>
          <w:bCs/>
          <w:sz w:val="32"/>
          <w:szCs w:val="32"/>
          <w:lang w:eastAsia="zh-CN"/>
        </w:rPr>
      </w:pPr>
      <w:r>
        <w:rPr>
          <w:rFonts w:hint="eastAsia" w:ascii="CESI楷体-GB2312" w:hAnsi="CESI楷体-GB2312" w:eastAsia="CESI楷体-GB2312" w:cs="CESI楷体-GB2312"/>
          <w:b/>
          <w:bCs/>
          <w:sz w:val="32"/>
          <w:szCs w:val="32"/>
          <w:lang w:eastAsia="zh-CN"/>
        </w:rPr>
        <w:t>（二）落实上级年度政务公开工作要点情况</w:t>
      </w:r>
    </w:p>
    <w:p>
      <w:pPr>
        <w:ind w:firstLine="640" w:firstLineChars="200"/>
        <w:rPr>
          <w:rFonts w:hint="eastAsia" w:ascii="仿宋_GB2312" w:eastAsia="仿宋_GB2312"/>
          <w:sz w:val="32"/>
          <w:szCs w:val="32"/>
          <w:lang w:eastAsia="zh-CN"/>
        </w:rPr>
      </w:pPr>
      <w:r>
        <w:rPr>
          <w:rFonts w:hint="eastAsia" w:ascii="仿宋_GB2312" w:eastAsia="仿宋_GB2312"/>
          <w:sz w:val="32"/>
          <w:szCs w:val="32"/>
          <w:lang w:eastAsia="zh-CN"/>
        </w:rPr>
        <w:t>按照《冠县人民政府办公室关于印发2021年冠县政务公开工作要点的通知》，冠县自然资源局坚持“公开为常态、不公开为例外”原则，进一步拓展主动公开深度和广度、完善工作机制、夯实政务公开保障基础，推进政务公开制度化、规范化建设。</w:t>
      </w:r>
    </w:p>
    <w:p>
      <w:pPr>
        <w:ind w:firstLine="640" w:firstLineChars="200"/>
        <w:rPr>
          <w:rFonts w:hint="eastAsia" w:ascii="仿宋_GB2312" w:eastAsia="仿宋_GB2312"/>
          <w:sz w:val="32"/>
          <w:szCs w:val="32"/>
          <w:lang w:eastAsia="zh-CN"/>
        </w:rPr>
      </w:pPr>
      <w:r>
        <w:rPr>
          <w:rFonts w:hint="eastAsia" w:ascii="仿宋_GB2312" w:eastAsia="仿宋_GB2312"/>
          <w:sz w:val="32"/>
          <w:szCs w:val="32"/>
          <w:lang w:eastAsia="zh-CN"/>
        </w:rPr>
        <w:t>一是推进各类规划主动公开。做好国土空间规划、专项规划、区域规划及配套政策措施的公开事项。归集整理和主动公开相关规划文本、方针政策、实施意见等，全面展示定位准确、边界清晰、功能互补、统一衔接的规划体系，引导全社会关心支持规划实施工作。</w:t>
      </w:r>
    </w:p>
    <w:p>
      <w:pPr>
        <w:ind w:firstLine="640" w:firstLineChars="200"/>
        <w:rPr>
          <w:rFonts w:hint="eastAsia" w:ascii="仿宋_GB2312" w:eastAsia="仿宋_GB2312"/>
          <w:sz w:val="32"/>
          <w:szCs w:val="32"/>
          <w:lang w:eastAsia="zh-CN"/>
        </w:rPr>
      </w:pPr>
      <w:r>
        <w:rPr>
          <w:rFonts w:hint="eastAsia" w:ascii="仿宋_GB2312" w:eastAsia="仿宋_GB2312"/>
          <w:sz w:val="32"/>
          <w:szCs w:val="32"/>
          <w:lang w:eastAsia="zh-CN"/>
        </w:rPr>
        <w:t xml:space="preserve">二是推进重大建设项目批准和实施领域信息公开。结合我局职能职责及自然资源管理工作实际，依托相关监管平台、网站，依法依规全面、主动、及时公开土地征收、城乡规划等建设项目的审批或核准、备案、实施、评估、监管等相关信息，接受社会监督。 </w:t>
      </w:r>
    </w:p>
    <w:p>
      <w:pPr>
        <w:ind w:firstLine="640" w:firstLineChars="200"/>
        <w:rPr>
          <w:rFonts w:hint="eastAsia" w:ascii="仿宋_GB2312" w:eastAsia="仿宋_GB2312"/>
          <w:sz w:val="32"/>
          <w:szCs w:val="32"/>
          <w:lang w:eastAsia="zh-CN"/>
        </w:rPr>
      </w:pPr>
      <w:r>
        <w:rPr>
          <w:rFonts w:hint="eastAsia" w:ascii="仿宋_GB2312" w:eastAsia="仿宋_GB2312"/>
          <w:sz w:val="32"/>
          <w:szCs w:val="32"/>
          <w:lang w:eastAsia="zh-CN"/>
        </w:rPr>
        <w:t>三是推进民生保障领域信息公开。对征地、城市规划建设等领域信息及时公开。在第一时间提高社会各界及公众对民生领域信息的知晓度，保障各方权利人的合法权益。</w:t>
      </w:r>
    </w:p>
    <w:p>
      <w:pPr>
        <w:ind w:firstLine="640" w:firstLineChars="200"/>
        <w:rPr>
          <w:rFonts w:hint="eastAsia" w:ascii="仿宋_GB2312" w:eastAsia="仿宋_GB2312"/>
          <w:sz w:val="32"/>
          <w:szCs w:val="32"/>
          <w:lang w:eastAsia="zh-CN"/>
        </w:rPr>
      </w:pPr>
      <w:r>
        <w:rPr>
          <w:rFonts w:hint="eastAsia" w:ascii="仿宋_GB2312" w:eastAsia="仿宋_GB2312"/>
          <w:sz w:val="32"/>
          <w:szCs w:val="32"/>
          <w:lang w:eastAsia="zh-CN"/>
        </w:rPr>
        <w:t>四是加强重要政策发布解读。严格落实政策解读“三同步”制度，落实信息公开主体责任，完善政策解读机制。</w:t>
      </w:r>
    </w:p>
    <w:p>
      <w:pPr>
        <w:ind w:firstLine="640" w:firstLineChars="200"/>
        <w:rPr>
          <w:rFonts w:hint="default" w:ascii="仿宋_GB2312" w:eastAsia="仿宋_GB2312"/>
          <w:sz w:val="32"/>
          <w:szCs w:val="32"/>
          <w:lang w:val="en-US" w:eastAsia="zh-CN"/>
        </w:rPr>
      </w:pPr>
      <w:r>
        <w:rPr>
          <w:rFonts w:hint="eastAsia" w:ascii="仿宋_GB2312" w:eastAsia="仿宋_GB2312"/>
          <w:sz w:val="32"/>
          <w:szCs w:val="32"/>
          <w:lang w:eastAsia="zh-CN"/>
        </w:rPr>
        <w:t>五是提升政务公开标准化规范化水平。高度重视政务公开标准化规范化公开工作，细化责任分工，提高公开的精度和广度，精准回应社会关注，极大提高了公众知晓度。</w:t>
      </w:r>
    </w:p>
    <w:p>
      <w:pPr>
        <w:ind w:firstLine="640" w:firstLineChars="200"/>
        <w:rPr>
          <w:rFonts w:hint="eastAsia" w:ascii="仿宋_GB2312" w:eastAsia="仿宋_GB2312"/>
          <w:sz w:val="32"/>
          <w:szCs w:val="32"/>
          <w:lang w:eastAsia="zh-CN"/>
        </w:rPr>
      </w:pPr>
      <w:r>
        <w:rPr>
          <w:rFonts w:hint="eastAsia" w:ascii="仿宋_GB2312" w:eastAsia="仿宋_GB2312"/>
          <w:sz w:val="32"/>
          <w:szCs w:val="32"/>
          <w:lang w:eastAsia="zh-CN"/>
        </w:rPr>
        <w:t>六是规范政府信息依申请公开工作。依申请公开关系到群众的切身利益，在依法依规的前提下，及时准确给予答复，最大限度化解矛盾，最大限度满足群众需求。</w:t>
      </w:r>
    </w:p>
    <w:p>
      <w:pPr>
        <w:ind w:firstLine="640" w:firstLineChars="200"/>
        <w:rPr>
          <w:rFonts w:hint="eastAsia" w:ascii="仿宋_GB2312" w:eastAsia="仿宋_GB2312"/>
          <w:sz w:val="32"/>
          <w:szCs w:val="32"/>
          <w:lang w:eastAsia="zh-CN"/>
        </w:rPr>
      </w:pPr>
      <w:r>
        <w:rPr>
          <w:rFonts w:hint="eastAsia" w:ascii="仿宋_GB2312" w:eastAsia="仿宋_GB2312"/>
          <w:sz w:val="32"/>
          <w:szCs w:val="32"/>
          <w:lang w:eastAsia="zh-CN"/>
        </w:rPr>
        <w:t>七是规范政务公开平台建设。健全政府网站、政务新媒体等公开平台的日常检查、维护和更新机制。</w:t>
      </w:r>
    </w:p>
    <w:p>
      <w:pPr>
        <w:ind w:firstLine="640" w:firstLineChars="200"/>
        <w:rPr>
          <w:rFonts w:hint="eastAsia" w:ascii="CESI楷体-GB2312" w:hAnsi="CESI楷体-GB2312" w:eastAsia="CESI楷体-GB2312" w:cs="CESI楷体-GB2312"/>
          <w:b/>
          <w:bCs/>
          <w:sz w:val="32"/>
          <w:szCs w:val="32"/>
          <w:lang w:eastAsia="zh-CN"/>
        </w:rPr>
      </w:pPr>
      <w:r>
        <w:rPr>
          <w:rFonts w:hint="eastAsia" w:ascii="CESI楷体-GB2312" w:hAnsi="CESI楷体-GB2312" w:eastAsia="CESI楷体-GB2312" w:cs="CESI楷体-GB2312"/>
          <w:b/>
          <w:bCs/>
          <w:sz w:val="32"/>
          <w:szCs w:val="32"/>
          <w:lang w:eastAsia="zh-CN"/>
        </w:rPr>
        <w:t>（三）人大代表建议和政协提案办理结果公开情况</w:t>
      </w:r>
    </w:p>
    <w:p>
      <w:pPr>
        <w:ind w:firstLine="640" w:firstLineChars="200"/>
        <w:rPr>
          <w:rFonts w:hint="eastAsia" w:ascii="仿宋_GB2312" w:eastAsia="仿宋_GB2312"/>
          <w:sz w:val="32"/>
          <w:szCs w:val="32"/>
          <w:lang w:eastAsia="zh-CN"/>
        </w:rPr>
      </w:pPr>
      <w:r>
        <w:rPr>
          <w:rFonts w:hint="eastAsia" w:ascii="仿宋_GB2312" w:eastAsia="仿宋_GB2312"/>
          <w:sz w:val="32"/>
          <w:szCs w:val="32"/>
          <w:lang w:val="en-US" w:eastAsia="zh-CN"/>
        </w:rPr>
        <w:t>2</w:t>
      </w:r>
      <w:r>
        <w:rPr>
          <w:rFonts w:hint="eastAsia" w:ascii="仿宋_GB2312" w:eastAsia="仿宋_GB2312"/>
          <w:color w:val="auto"/>
          <w:sz w:val="32"/>
          <w:szCs w:val="32"/>
          <w:lang w:val="en-US" w:eastAsia="zh-CN"/>
        </w:rPr>
        <w:t>021年共办理人大代表建议5件，办复率100%；承办政协提案5件，办复</w:t>
      </w:r>
      <w:r>
        <w:rPr>
          <w:rFonts w:hint="eastAsia" w:ascii="仿宋_GB2312" w:eastAsia="仿宋_GB2312"/>
          <w:sz w:val="32"/>
          <w:szCs w:val="32"/>
          <w:lang w:val="en-US" w:eastAsia="zh-CN"/>
        </w:rPr>
        <w:t>率100%。严格《山东省人民政府办公厅关于做好人大代表建议和政协提案办理结果公开工作的通知》（鲁政办字〔2016〕63号）要求，除涉及国家秘密、工作秘密的，均在冠县人民政府网站“冠县建议提案办理”专栏进行了集中公开。</w:t>
      </w:r>
    </w:p>
    <w:p>
      <w:pPr>
        <w:ind w:firstLine="640" w:firstLineChars="200"/>
        <w:rPr>
          <w:rFonts w:hint="eastAsia" w:ascii="CESI楷体-GB2312" w:hAnsi="CESI楷体-GB2312" w:eastAsia="CESI楷体-GB2312" w:cs="CESI楷体-GB2312"/>
          <w:b/>
          <w:bCs/>
          <w:sz w:val="32"/>
          <w:szCs w:val="32"/>
          <w:lang w:eastAsia="zh-CN"/>
        </w:rPr>
      </w:pPr>
      <w:r>
        <w:rPr>
          <w:rFonts w:hint="eastAsia" w:ascii="CESI楷体-GB2312" w:hAnsi="CESI楷体-GB2312" w:eastAsia="CESI楷体-GB2312" w:cs="CESI楷体-GB2312"/>
          <w:b/>
          <w:bCs/>
          <w:sz w:val="32"/>
          <w:szCs w:val="32"/>
          <w:lang w:eastAsia="zh-CN"/>
        </w:rPr>
        <w:t>（四）政务公开工作创新情况</w:t>
      </w:r>
    </w:p>
    <w:p>
      <w:pPr>
        <w:ind w:firstLine="640" w:firstLineChars="200"/>
        <w:rPr>
          <w:rFonts w:hint="eastAsia" w:ascii="仿宋_GB2312" w:eastAsia="仿宋_GB2312"/>
          <w:color w:val="auto"/>
          <w:sz w:val="32"/>
          <w:szCs w:val="32"/>
        </w:rPr>
      </w:pPr>
      <w:r>
        <w:rPr>
          <w:rFonts w:hint="eastAsia" w:ascii="仿宋_GB2312" w:eastAsia="仿宋_GB2312"/>
          <w:color w:val="auto"/>
          <w:sz w:val="32"/>
          <w:szCs w:val="32"/>
          <w:lang w:val="en-US" w:eastAsia="zh-CN"/>
        </w:rPr>
        <w:t>2021</w:t>
      </w:r>
      <w:r>
        <w:rPr>
          <w:rFonts w:hint="eastAsia" w:ascii="仿宋_GB2312" w:eastAsia="仿宋_GB2312"/>
          <w:color w:val="auto"/>
          <w:sz w:val="32"/>
          <w:szCs w:val="32"/>
          <w:lang w:eastAsia="zh-CN"/>
        </w:rPr>
        <w:t>年度，自然资源和规划局始终坚持公开为群众服务的宗旨，坚持“公开为常态、不公开为例外”的思路，建立了“</w:t>
      </w:r>
      <w:r>
        <w:rPr>
          <w:rFonts w:hint="default" w:ascii="仿宋_GB2312" w:eastAsia="仿宋_GB2312"/>
          <w:color w:val="auto"/>
          <w:sz w:val="32"/>
          <w:szCs w:val="32"/>
          <w:lang w:eastAsia="zh-CN"/>
        </w:rPr>
        <w:t>冠县自然资源和规划局</w:t>
      </w:r>
      <w:r>
        <w:rPr>
          <w:rFonts w:hint="eastAsia" w:ascii="仿宋_GB2312" w:eastAsia="仿宋_GB2312"/>
          <w:color w:val="auto"/>
          <w:sz w:val="32"/>
          <w:szCs w:val="32"/>
          <w:lang w:eastAsia="zh-CN"/>
        </w:rPr>
        <w:t>”</w:t>
      </w:r>
      <w:r>
        <w:rPr>
          <w:rFonts w:hint="default" w:ascii="仿宋_GB2312" w:eastAsia="仿宋_GB2312"/>
          <w:color w:val="auto"/>
          <w:sz w:val="32"/>
          <w:szCs w:val="32"/>
          <w:lang w:eastAsia="zh-CN"/>
        </w:rPr>
        <w:t>微信公众号</w:t>
      </w:r>
      <w:r>
        <w:rPr>
          <w:rFonts w:hint="eastAsia" w:ascii="仿宋_GB2312" w:eastAsia="仿宋_GB2312"/>
          <w:color w:val="auto"/>
          <w:sz w:val="32"/>
          <w:szCs w:val="32"/>
          <w:lang w:eastAsia="zh-CN"/>
        </w:rPr>
        <w:t>，及时推送本部门亮点工作，提高了公众对自然资源工作的</w:t>
      </w:r>
      <w:r>
        <w:rPr>
          <w:rFonts w:hint="eastAsia" w:ascii="仿宋_GB2312" w:eastAsia="仿宋_GB2312"/>
          <w:color w:val="auto"/>
          <w:sz w:val="32"/>
          <w:szCs w:val="32"/>
          <w:lang w:val="en-US" w:eastAsia="zh-CN"/>
        </w:rPr>
        <w:t>认识</w:t>
      </w:r>
      <w:r>
        <w:rPr>
          <w:rFonts w:hint="eastAsia" w:ascii="仿宋_GB2312" w:eastAsia="仿宋_GB2312"/>
          <w:color w:val="auto"/>
          <w:sz w:val="32"/>
          <w:szCs w:val="32"/>
          <w:lang w:eastAsia="zh-CN"/>
        </w:rPr>
        <w:t>，同时大力宣传了耕地保护工作，提高了社会各界保护耕地的意识，营造了保护耕地的良好氛围；积极主动做好政策解读工作，既提高了社会公众对自然资源政策的了解，也方便了群众办理业务；开展了以不动产登记为主题的“政府开放日”活动，邀请人大代表、政协委员及群众代表等</w:t>
      </w:r>
      <w:bookmarkStart w:id="11" w:name="_GoBack"/>
      <w:bookmarkEnd w:id="11"/>
      <w:r>
        <w:rPr>
          <w:rFonts w:hint="eastAsia" w:ascii="仿宋_GB2312" w:eastAsia="仿宋_GB2312"/>
          <w:color w:val="auto"/>
          <w:sz w:val="32"/>
          <w:szCs w:val="32"/>
          <w:lang w:eastAsia="zh-CN"/>
        </w:rPr>
        <w:t>参与，采取现场观摩、亲身体验的方式让他们</w:t>
      </w:r>
      <w:r>
        <w:rPr>
          <w:rFonts w:hint="eastAsia" w:ascii="仿宋_GB2312" w:eastAsia="仿宋_GB2312"/>
          <w:color w:val="auto"/>
          <w:sz w:val="32"/>
          <w:szCs w:val="32"/>
          <w:lang w:val="en-US" w:eastAsia="zh-CN"/>
        </w:rPr>
        <w:t>感受</w:t>
      </w:r>
      <w:r>
        <w:rPr>
          <w:rFonts w:hint="eastAsia" w:ascii="仿宋_GB2312" w:eastAsia="仿宋_GB2312"/>
          <w:color w:val="auto"/>
          <w:sz w:val="32"/>
          <w:szCs w:val="32"/>
          <w:lang w:eastAsia="zh-CN"/>
        </w:rPr>
        <w:t>到不动产登记工作中的便民利民，收到了广泛赞誉。</w:t>
      </w:r>
    </w:p>
    <w:p>
      <w:pPr>
        <w:ind w:firstLine="640" w:firstLineChars="200"/>
        <w:rPr>
          <w:rFonts w:hint="eastAsia" w:ascii="CESI楷体-GB2312" w:hAnsi="CESI楷体-GB2312" w:eastAsia="CESI楷体-GB2312" w:cs="CESI楷体-GB2312"/>
          <w:b/>
          <w:bCs/>
          <w:sz w:val="32"/>
          <w:szCs w:val="32"/>
          <w:lang w:eastAsia="zh-CN"/>
        </w:rPr>
      </w:pPr>
      <w:r>
        <w:rPr>
          <w:rFonts w:hint="eastAsia" w:ascii="CESI楷体-GB2312" w:hAnsi="CESI楷体-GB2312" w:eastAsia="CESI楷体-GB2312" w:cs="CESI楷体-GB2312"/>
          <w:b/>
          <w:bCs/>
          <w:sz w:val="32"/>
          <w:szCs w:val="32"/>
          <w:lang w:eastAsia="zh-CN"/>
        </w:rPr>
        <w:t>（五）有关数据统计说明</w:t>
      </w:r>
    </w:p>
    <w:p>
      <w:pPr>
        <w:ind w:firstLine="640" w:firstLineChars="200"/>
        <w:rPr>
          <w:rFonts w:hint="eastAsia" w:ascii="仿宋_GB2312" w:eastAsia="仿宋_GB2312"/>
          <w:sz w:val="32"/>
          <w:szCs w:val="32"/>
          <w:lang w:val="en-US" w:eastAsia="zh-CN"/>
        </w:rPr>
      </w:pPr>
      <w:r>
        <w:rPr>
          <w:rFonts w:hint="eastAsia" w:ascii="仿宋_GB2312" w:eastAsia="仿宋_GB2312"/>
          <w:sz w:val="32"/>
          <w:szCs w:val="32"/>
          <w:lang w:eastAsia="zh-CN"/>
        </w:rPr>
        <w:t>本年度报告中所列数据统计期限从</w:t>
      </w:r>
      <w:r>
        <w:rPr>
          <w:rFonts w:hint="eastAsia" w:ascii="仿宋_GB2312" w:eastAsia="仿宋_GB2312"/>
          <w:sz w:val="32"/>
          <w:szCs w:val="32"/>
          <w:lang w:val="en-US" w:eastAsia="zh-CN"/>
        </w:rPr>
        <w:t>2021年1月1日到12月31日止。</w:t>
      </w:r>
    </w:p>
    <w:p>
      <w:pPr>
        <w:ind w:firstLine="640" w:firstLineChars="200"/>
        <w:rPr>
          <w:rFonts w:hint="eastAsia" w:ascii="仿宋_GB2312" w:eastAsia="仿宋_GB2312"/>
          <w:sz w:val="32"/>
          <w:szCs w:val="32"/>
          <w:lang w:eastAsia="zh-CN"/>
        </w:rPr>
      </w:pPr>
    </w:p>
    <w:p>
      <w:pPr>
        <w:ind w:firstLine="640" w:firstLineChars="200"/>
        <w:rPr>
          <w:rFonts w:hint="eastAsia" w:ascii="仿宋_GB2312" w:eastAsia="仿宋_GB2312"/>
          <w:sz w:val="32"/>
          <w:szCs w:val="32"/>
          <w:lang w:eastAsia="zh-CN"/>
        </w:rPr>
      </w:pPr>
    </w:p>
    <w:p>
      <w:pPr>
        <w:ind w:firstLine="640" w:firstLineChars="200"/>
        <w:rPr>
          <w:rFonts w:hint="eastAsia" w:ascii="仿宋_GB2312" w:eastAsia="仿宋_GB2312"/>
          <w:sz w:val="32"/>
          <w:szCs w:val="32"/>
          <w:lang w:eastAsia="zh-CN"/>
        </w:rPr>
      </w:pPr>
    </w:p>
    <w:p>
      <w:pPr>
        <w:ind w:firstLine="640" w:firstLineChars="200"/>
        <w:rPr>
          <w:rFonts w:hint="eastAsia" w:ascii="仿宋_GB2312" w:eastAsia="仿宋_GB2312"/>
          <w:sz w:val="32"/>
          <w:szCs w:val="32"/>
          <w:lang w:eastAsia="zh-CN"/>
        </w:rPr>
      </w:pPr>
    </w:p>
    <w:p>
      <w:pPr>
        <w:rPr>
          <w:rFonts w:hint="eastAsia" w:ascii="CESI黑体-GB2312" w:hAnsi="CESI黑体-GB2312" w:eastAsia="CESI黑体-GB2312" w:cs="CESI黑体-GB2312"/>
          <w:sz w:val="32"/>
          <w:szCs w:val="32"/>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ascii="仿宋_GB2312" w:eastAsia="仿宋_GB2312"/>
          <w:sz w:val="32"/>
          <w:szCs w:val="32"/>
          <w:lang w:val="en-US" w:eastAsia="zh-CN"/>
        </w:rPr>
      </w:pPr>
    </w:p>
    <w:sectPr>
      <w:footerReference r:id="rId3" w:type="default"/>
      <w:pgSz w:w="11906"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7A"/>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FreeSerif"/>
    <w:panose1 w:val="02040503050406030204"/>
    <w:charset w:val="00"/>
    <w:family w:val="auto"/>
    <w:pitch w:val="default"/>
    <w:sig w:usb0="00000000" w:usb1="00000000" w:usb2="02000000" w:usb3="00000000" w:csb0="2000019F" w:csb1="00000000"/>
  </w:font>
  <w:font w:name="CESI小标宋-GB2312">
    <w:panose1 w:val="02000500000000000000"/>
    <w:charset w:val="86"/>
    <w:family w:val="auto"/>
    <w:pitch w:val="default"/>
    <w:sig w:usb0="800002AF" w:usb1="084F6CF8" w:usb2="00000010" w:usb3="00000000" w:csb0="0004000F" w:csb1="00000000"/>
  </w:font>
  <w:font w:name="CESI仿宋-GB2312">
    <w:panose1 w:val="02000500000000000000"/>
    <w:charset w:val="86"/>
    <w:family w:val="auto"/>
    <w:pitch w:val="default"/>
    <w:sig w:usb0="800002AF" w:usb1="084F6CF8" w:usb2="00000010" w:usb3="00000000" w:csb0="0004000F" w:csb1="00000000"/>
  </w:font>
  <w:font w:name="仿宋_GB2312">
    <w:altName w:val="方正仿宋_GBK"/>
    <w:panose1 w:val="02010609030101010101"/>
    <w:charset w:val="86"/>
    <w:family w:val="decorative"/>
    <w:pitch w:val="default"/>
    <w:sig w:usb0="00000000" w:usb1="00000000" w:usb2="00000000" w:usb3="00000000" w:csb0="00040000" w:csb1="00000000"/>
  </w:font>
  <w:font w:name="楷体_GB2312">
    <w:altName w:val="方正楷体_GBK"/>
    <w:panose1 w:val="02010609030101010101"/>
    <w:charset w:val="86"/>
    <w:family w:val="decorative"/>
    <w:pitch w:val="default"/>
    <w:sig w:usb0="00000000" w:usb1="00000000" w:usb2="00000000" w:usb3="00000000" w:csb0="00040000" w:csb1="00000000"/>
  </w:font>
  <w:font w:name="CESI黑体-GB2312">
    <w:panose1 w:val="02000500000000000000"/>
    <w:charset w:val="86"/>
    <w:family w:val="auto"/>
    <w:pitch w:val="default"/>
    <w:sig w:usb0="800002BF" w:usb1="184F6CF8" w:usb2="00000012" w:usb3="00000000" w:csb0="0004000F" w:csb1="00000000"/>
  </w:font>
  <w:font w:name="CESI楷体-GB2312">
    <w:panose1 w:val="02000500000000000000"/>
    <w:charset w:val="86"/>
    <w:family w:val="auto"/>
    <w:pitch w:val="default"/>
    <w:sig w:usb0="800002BF" w:usb1="184F6CF8" w:usb2="00000012" w:usb3="00000000" w:csb0="0004000F" w:csb1="00000000"/>
  </w:font>
  <w:font w:name="楷体">
    <w:altName w:val="方正楷体_GBK"/>
    <w:panose1 w:val="02010609060101010101"/>
    <w:charset w:val="86"/>
    <w:family w:val="decorative"/>
    <w:pitch w:val="default"/>
    <w:sig w:usb0="00000000" w:usb1="00000000" w:usb2="00000016" w:usb3="00000000" w:csb0="00040001" w:csb1="00000000"/>
  </w:font>
  <w:font w:name="方正书宋_GBK">
    <w:panose1 w:val="020000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 w:name="Nimbus Roman No9 L">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A00002BF" w:usb1="38CF7CFA" w:usb2="00082016" w:usb3="00000000" w:csb0="00040001" w:csb1="00000000"/>
  </w:font>
  <w:font w:name="FreeSerif">
    <w:panose1 w:val="02020603050405020304"/>
    <w:charset w:val="00"/>
    <w:family w:val="auto"/>
    <w:pitch w:val="default"/>
    <w:sig w:usb0="E59FAFFF" w:usb1="C200FDFF" w:usb2="43501B29" w:usb3="04000043" w:csb0="600101FF" w:csb1="FFFF0000"/>
  </w:font>
  <w:font w:name="Standard Symbols PS">
    <w:panose1 w:val="05050102010706020507"/>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3"/>
                          </w:pPr>
                          <w:r>
                            <w:fldChar w:fldCharType="begin"/>
                          </w:r>
                          <w:r>
                            <w:instrText xml:space="preserve"> PAGE  \* MERGEFORMAT </w:instrText>
                          </w:r>
                          <w:r>
                            <w:fldChar w:fldCharType="separate"/>
                          </w:r>
                          <w:r>
                            <w:t>1</w:t>
                          </w:r>
                          <w:r>
                            <w:fldChar w:fldCharType="end"/>
                          </w:r>
                        </w:p>
                      </w:txbxContent>
                    </wps:txbx>
                    <wps:bodyPr vert="horz" wrap="none" lIns="0" tIns="0" rIns="0" bIns="0" anchor="t" anchorCtr="false" upright="fals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FgAAAGRycy9QSwECFAAUAAAACACHTuJAzql5uc8AAAAFAQAADwAAAAAAAAABACAA&#10;AAA4AAAAZHJzL2Rvd25yZXYueG1sUEsBAhQAFAAAAAgAh07iQBCr8CPHAQAAewMAAA4AAAAAAAAA&#10;AQAgAAAANAEAAGRycy9lMm9Eb2MueG1sUEsFBgAAAAAGAAYAWQEAAG0FAAAAAA==&#10;">
              <v:fill on="f" focussize="0,0"/>
              <v:stroke on="f"/>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E44F14"/>
    <w:multiLevelType w:val="singleLevel"/>
    <w:tmpl w:val="D9E44F14"/>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true"/>
  <w:bordersDoNotSurroundHeader w:val="false"/>
  <w:bordersDoNotSurroundFooter w:val="false"/>
  <w:documentProtection w:enforcement="0"/>
  <w:defaultTabStop w:val="420"/>
  <w:hyphenationZone w:val="36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EF658B"/>
    <w:rsid w:val="00062DE2"/>
    <w:rsid w:val="00645991"/>
    <w:rsid w:val="00CE72AE"/>
    <w:rsid w:val="01203FAE"/>
    <w:rsid w:val="0136732D"/>
    <w:rsid w:val="019C1E43"/>
    <w:rsid w:val="01B12E58"/>
    <w:rsid w:val="01CE57B8"/>
    <w:rsid w:val="024F3A0A"/>
    <w:rsid w:val="02566477"/>
    <w:rsid w:val="042E6975"/>
    <w:rsid w:val="044B7594"/>
    <w:rsid w:val="04B36EE7"/>
    <w:rsid w:val="05A31106"/>
    <w:rsid w:val="05E70837"/>
    <w:rsid w:val="07554285"/>
    <w:rsid w:val="0777244E"/>
    <w:rsid w:val="077C1812"/>
    <w:rsid w:val="07D9325E"/>
    <w:rsid w:val="07E01DA1"/>
    <w:rsid w:val="0874698D"/>
    <w:rsid w:val="095A2027"/>
    <w:rsid w:val="0AB319EF"/>
    <w:rsid w:val="0C122745"/>
    <w:rsid w:val="0CA912FB"/>
    <w:rsid w:val="0D0F7722"/>
    <w:rsid w:val="0E8F62CF"/>
    <w:rsid w:val="0E912047"/>
    <w:rsid w:val="0EAC44C3"/>
    <w:rsid w:val="0EE02FCE"/>
    <w:rsid w:val="0FFD0A9A"/>
    <w:rsid w:val="10F4154D"/>
    <w:rsid w:val="10FA0A8C"/>
    <w:rsid w:val="110450EB"/>
    <w:rsid w:val="111C679B"/>
    <w:rsid w:val="11496C09"/>
    <w:rsid w:val="144B0EEA"/>
    <w:rsid w:val="14D409E4"/>
    <w:rsid w:val="170045BA"/>
    <w:rsid w:val="17BFEB6D"/>
    <w:rsid w:val="17CD8F2E"/>
    <w:rsid w:val="18403A9E"/>
    <w:rsid w:val="18B67684"/>
    <w:rsid w:val="19622F5E"/>
    <w:rsid w:val="1A584361"/>
    <w:rsid w:val="1B750FCE"/>
    <w:rsid w:val="1B927CDA"/>
    <w:rsid w:val="1BA64C58"/>
    <w:rsid w:val="1BDE2EF1"/>
    <w:rsid w:val="1CF523BA"/>
    <w:rsid w:val="1D1235DF"/>
    <w:rsid w:val="1D963E2E"/>
    <w:rsid w:val="1E032835"/>
    <w:rsid w:val="1EC21DA9"/>
    <w:rsid w:val="1F2E38E2"/>
    <w:rsid w:val="1FD5D705"/>
    <w:rsid w:val="22205764"/>
    <w:rsid w:val="22682E53"/>
    <w:rsid w:val="22D842B8"/>
    <w:rsid w:val="237C2E6E"/>
    <w:rsid w:val="23804D35"/>
    <w:rsid w:val="23A579AE"/>
    <w:rsid w:val="24FA0CB9"/>
    <w:rsid w:val="267159D3"/>
    <w:rsid w:val="26802C75"/>
    <w:rsid w:val="271C2272"/>
    <w:rsid w:val="28035344"/>
    <w:rsid w:val="28215D92"/>
    <w:rsid w:val="284760C4"/>
    <w:rsid w:val="28690BE6"/>
    <w:rsid w:val="28784F9F"/>
    <w:rsid w:val="29F15568"/>
    <w:rsid w:val="2A0649A4"/>
    <w:rsid w:val="2A202079"/>
    <w:rsid w:val="2A562BCB"/>
    <w:rsid w:val="2AF23A16"/>
    <w:rsid w:val="2AF27EBA"/>
    <w:rsid w:val="2BFFECDA"/>
    <w:rsid w:val="2C6A0BCC"/>
    <w:rsid w:val="2CBC42DB"/>
    <w:rsid w:val="2D07E0AC"/>
    <w:rsid w:val="2D095047"/>
    <w:rsid w:val="2D5E35E4"/>
    <w:rsid w:val="2D7F721F"/>
    <w:rsid w:val="2E552C39"/>
    <w:rsid w:val="2E7D0395"/>
    <w:rsid w:val="2F2A29E2"/>
    <w:rsid w:val="2FAF9428"/>
    <w:rsid w:val="2FB614B6"/>
    <w:rsid w:val="30466DF2"/>
    <w:rsid w:val="30766E97"/>
    <w:rsid w:val="30FFC5AF"/>
    <w:rsid w:val="318F6462"/>
    <w:rsid w:val="31F14A27"/>
    <w:rsid w:val="32230959"/>
    <w:rsid w:val="33C70135"/>
    <w:rsid w:val="34682EB0"/>
    <w:rsid w:val="34A73AC3"/>
    <w:rsid w:val="34C934D4"/>
    <w:rsid w:val="35441312"/>
    <w:rsid w:val="35B20971"/>
    <w:rsid w:val="35C41A13"/>
    <w:rsid w:val="36D564C5"/>
    <w:rsid w:val="36ED2F5F"/>
    <w:rsid w:val="36ED5D04"/>
    <w:rsid w:val="36FE3F92"/>
    <w:rsid w:val="372543A3"/>
    <w:rsid w:val="38754646"/>
    <w:rsid w:val="39DF5AAD"/>
    <w:rsid w:val="39F03816"/>
    <w:rsid w:val="3BBD1E1E"/>
    <w:rsid w:val="3BD38DA5"/>
    <w:rsid w:val="3C090BBF"/>
    <w:rsid w:val="3C430575"/>
    <w:rsid w:val="3CAB10C6"/>
    <w:rsid w:val="3D746AA0"/>
    <w:rsid w:val="3DBF5A2C"/>
    <w:rsid w:val="3DC53A24"/>
    <w:rsid w:val="3DFE2019"/>
    <w:rsid w:val="3DFF2151"/>
    <w:rsid w:val="3EBA999F"/>
    <w:rsid w:val="3EF757ED"/>
    <w:rsid w:val="3EF79DD7"/>
    <w:rsid w:val="3EFE9921"/>
    <w:rsid w:val="3F9D550D"/>
    <w:rsid w:val="3FEE2C70"/>
    <w:rsid w:val="3FF750D2"/>
    <w:rsid w:val="3FFEA9BE"/>
    <w:rsid w:val="3FFFD794"/>
    <w:rsid w:val="40B05AAD"/>
    <w:rsid w:val="43380A69"/>
    <w:rsid w:val="434626F9"/>
    <w:rsid w:val="43FF2EF7"/>
    <w:rsid w:val="467B3C91"/>
    <w:rsid w:val="47BFD4FF"/>
    <w:rsid w:val="48D367DD"/>
    <w:rsid w:val="4ABD5996"/>
    <w:rsid w:val="4ADB406F"/>
    <w:rsid w:val="4B6A7489"/>
    <w:rsid w:val="4B780F4B"/>
    <w:rsid w:val="4D5B5553"/>
    <w:rsid w:val="4E335445"/>
    <w:rsid w:val="4E6D46B7"/>
    <w:rsid w:val="4E813DB2"/>
    <w:rsid w:val="4EDD489A"/>
    <w:rsid w:val="4EF37BD9"/>
    <w:rsid w:val="4EFD0A57"/>
    <w:rsid w:val="4EFF75C3"/>
    <w:rsid w:val="4F304989"/>
    <w:rsid w:val="4F32316B"/>
    <w:rsid w:val="4FA505E0"/>
    <w:rsid w:val="51450494"/>
    <w:rsid w:val="51FED7AB"/>
    <w:rsid w:val="528744D0"/>
    <w:rsid w:val="53EF3D66"/>
    <w:rsid w:val="53F493FF"/>
    <w:rsid w:val="54224ABC"/>
    <w:rsid w:val="55175CA3"/>
    <w:rsid w:val="559334FE"/>
    <w:rsid w:val="56292132"/>
    <w:rsid w:val="56306A8D"/>
    <w:rsid w:val="57FF96B1"/>
    <w:rsid w:val="58CD4FF7"/>
    <w:rsid w:val="599C6D5A"/>
    <w:rsid w:val="5ABA2A7F"/>
    <w:rsid w:val="5B5BAFEC"/>
    <w:rsid w:val="5D221689"/>
    <w:rsid w:val="5DD4675B"/>
    <w:rsid w:val="5DEF253B"/>
    <w:rsid w:val="5DFB2BCB"/>
    <w:rsid w:val="5E783C56"/>
    <w:rsid w:val="5E7FA522"/>
    <w:rsid w:val="5ED5AFFA"/>
    <w:rsid w:val="5EECA290"/>
    <w:rsid w:val="5EEFD745"/>
    <w:rsid w:val="5EFA7CCD"/>
    <w:rsid w:val="5F2913F5"/>
    <w:rsid w:val="5F7E52F8"/>
    <w:rsid w:val="5F7F2518"/>
    <w:rsid w:val="5F8F8379"/>
    <w:rsid w:val="5FBDD6D2"/>
    <w:rsid w:val="5FEE129C"/>
    <w:rsid w:val="60DF3EE6"/>
    <w:rsid w:val="60FFB723"/>
    <w:rsid w:val="622E1840"/>
    <w:rsid w:val="62357B08"/>
    <w:rsid w:val="624F4CCE"/>
    <w:rsid w:val="626F5370"/>
    <w:rsid w:val="62C135A0"/>
    <w:rsid w:val="633345F0"/>
    <w:rsid w:val="634A4B55"/>
    <w:rsid w:val="63C2133D"/>
    <w:rsid w:val="663568D1"/>
    <w:rsid w:val="6638659A"/>
    <w:rsid w:val="675A4A50"/>
    <w:rsid w:val="677EB821"/>
    <w:rsid w:val="678E44EB"/>
    <w:rsid w:val="67CF50FE"/>
    <w:rsid w:val="67F759EC"/>
    <w:rsid w:val="680B78E9"/>
    <w:rsid w:val="6B8F4FD3"/>
    <w:rsid w:val="6BBFA990"/>
    <w:rsid w:val="6BF14513"/>
    <w:rsid w:val="6BFFC3DB"/>
    <w:rsid w:val="6C236751"/>
    <w:rsid w:val="6CC05D47"/>
    <w:rsid w:val="6D262AD0"/>
    <w:rsid w:val="6DDCA9AA"/>
    <w:rsid w:val="6DFEA2C1"/>
    <w:rsid w:val="6E2C5A9A"/>
    <w:rsid w:val="6E4771A1"/>
    <w:rsid w:val="6E95615F"/>
    <w:rsid w:val="6EBF73E3"/>
    <w:rsid w:val="6ED76777"/>
    <w:rsid w:val="6F105E71"/>
    <w:rsid w:val="6F2F65B3"/>
    <w:rsid w:val="6F37D775"/>
    <w:rsid w:val="6FBB27F8"/>
    <w:rsid w:val="6FBF0D38"/>
    <w:rsid w:val="6FF330EE"/>
    <w:rsid w:val="6FFD68DA"/>
    <w:rsid w:val="70922C0A"/>
    <w:rsid w:val="713E3A21"/>
    <w:rsid w:val="71B667C4"/>
    <w:rsid w:val="71DC26EE"/>
    <w:rsid w:val="725A3947"/>
    <w:rsid w:val="72AB1425"/>
    <w:rsid w:val="72CFD79F"/>
    <w:rsid w:val="72EB3D62"/>
    <w:rsid w:val="743D6E53"/>
    <w:rsid w:val="74856371"/>
    <w:rsid w:val="74EF47F6"/>
    <w:rsid w:val="757D16FB"/>
    <w:rsid w:val="75BA64AB"/>
    <w:rsid w:val="75F77CD4"/>
    <w:rsid w:val="76C24C69"/>
    <w:rsid w:val="775EB7B1"/>
    <w:rsid w:val="776E7401"/>
    <w:rsid w:val="77CA8C2E"/>
    <w:rsid w:val="77ED8C10"/>
    <w:rsid w:val="77FEB9F5"/>
    <w:rsid w:val="795B7FA5"/>
    <w:rsid w:val="797E6133"/>
    <w:rsid w:val="79B7167F"/>
    <w:rsid w:val="7A659252"/>
    <w:rsid w:val="7A7F311F"/>
    <w:rsid w:val="7A7F43F2"/>
    <w:rsid w:val="7AFC7433"/>
    <w:rsid w:val="7AFF42DA"/>
    <w:rsid w:val="7B312D12"/>
    <w:rsid w:val="7BCF7B60"/>
    <w:rsid w:val="7BD783A9"/>
    <w:rsid w:val="7BE5A58A"/>
    <w:rsid w:val="7BED0E57"/>
    <w:rsid w:val="7BFBFAD3"/>
    <w:rsid w:val="7BFE7A63"/>
    <w:rsid w:val="7BFF0E94"/>
    <w:rsid w:val="7BFF5E57"/>
    <w:rsid w:val="7C4B4301"/>
    <w:rsid w:val="7C6E4FA9"/>
    <w:rsid w:val="7CDF3DBD"/>
    <w:rsid w:val="7CFF7EE1"/>
    <w:rsid w:val="7D74B766"/>
    <w:rsid w:val="7D7D81B4"/>
    <w:rsid w:val="7DD32800"/>
    <w:rsid w:val="7DFF0B4D"/>
    <w:rsid w:val="7DFFF3B8"/>
    <w:rsid w:val="7E6F71AF"/>
    <w:rsid w:val="7E7135BF"/>
    <w:rsid w:val="7EBF93D3"/>
    <w:rsid w:val="7ECB17F8"/>
    <w:rsid w:val="7EE56A34"/>
    <w:rsid w:val="7EED5D03"/>
    <w:rsid w:val="7EEF5AF8"/>
    <w:rsid w:val="7EF95957"/>
    <w:rsid w:val="7F6FD504"/>
    <w:rsid w:val="7F75EFE6"/>
    <w:rsid w:val="7F8E3466"/>
    <w:rsid w:val="7FBFAEB4"/>
    <w:rsid w:val="7FEF658B"/>
    <w:rsid w:val="7FFF27F7"/>
    <w:rsid w:val="7FFFB5D4"/>
    <w:rsid w:val="8BB95354"/>
    <w:rsid w:val="8D78DC5A"/>
    <w:rsid w:val="956D85C9"/>
    <w:rsid w:val="97EF4932"/>
    <w:rsid w:val="9CEF00A8"/>
    <w:rsid w:val="9D9797CC"/>
    <w:rsid w:val="9DA30073"/>
    <w:rsid w:val="9DFB5800"/>
    <w:rsid w:val="9EAFAA5D"/>
    <w:rsid w:val="9FFF0F55"/>
    <w:rsid w:val="A7FCE885"/>
    <w:rsid w:val="AA0F8F88"/>
    <w:rsid w:val="AFCFC30E"/>
    <w:rsid w:val="B77FA11B"/>
    <w:rsid w:val="B7C8F05D"/>
    <w:rsid w:val="BA7B23C6"/>
    <w:rsid w:val="BB7FCE6F"/>
    <w:rsid w:val="BBF92763"/>
    <w:rsid w:val="BCDAB567"/>
    <w:rsid w:val="BDB7618B"/>
    <w:rsid w:val="BDFFFE4E"/>
    <w:rsid w:val="BEFEC590"/>
    <w:rsid w:val="BEFF91CF"/>
    <w:rsid w:val="BFB6CD20"/>
    <w:rsid w:val="BFDB1BD3"/>
    <w:rsid w:val="BFDE7FE6"/>
    <w:rsid w:val="BFFFA3C3"/>
    <w:rsid w:val="BFFFF9DE"/>
    <w:rsid w:val="C7FF664B"/>
    <w:rsid w:val="CDDE6BA6"/>
    <w:rsid w:val="CEED47EB"/>
    <w:rsid w:val="CF3DEF47"/>
    <w:rsid w:val="CFFF7263"/>
    <w:rsid w:val="D3E7E68F"/>
    <w:rsid w:val="D3FDE46D"/>
    <w:rsid w:val="D6BDA0FD"/>
    <w:rsid w:val="D7B98E93"/>
    <w:rsid w:val="D7DEF8C9"/>
    <w:rsid w:val="D7FBEBB9"/>
    <w:rsid w:val="D9AF3344"/>
    <w:rsid w:val="DB1F8E78"/>
    <w:rsid w:val="DBDCE669"/>
    <w:rsid w:val="DBFA1478"/>
    <w:rsid w:val="DEFE3B35"/>
    <w:rsid w:val="DF9A698D"/>
    <w:rsid w:val="DF9B201A"/>
    <w:rsid w:val="DFEB4B44"/>
    <w:rsid w:val="DFEE4FA3"/>
    <w:rsid w:val="DFF2682B"/>
    <w:rsid w:val="DFF30864"/>
    <w:rsid w:val="DFFE574B"/>
    <w:rsid w:val="E19FAC9C"/>
    <w:rsid w:val="E5A77348"/>
    <w:rsid w:val="E7FF4A83"/>
    <w:rsid w:val="EB7DFB4E"/>
    <w:rsid w:val="EB9F4F9F"/>
    <w:rsid w:val="EBAA24F9"/>
    <w:rsid w:val="EBBBC8EE"/>
    <w:rsid w:val="ED3E1A38"/>
    <w:rsid w:val="EE77D3F5"/>
    <w:rsid w:val="EFCF7228"/>
    <w:rsid w:val="F1BD59D0"/>
    <w:rsid w:val="F25B21BC"/>
    <w:rsid w:val="F37D58FD"/>
    <w:rsid w:val="F37D7D33"/>
    <w:rsid w:val="F3FEE081"/>
    <w:rsid w:val="F4CF5228"/>
    <w:rsid w:val="F67F67ED"/>
    <w:rsid w:val="F77FAC29"/>
    <w:rsid w:val="F7B7D272"/>
    <w:rsid w:val="F7F7000F"/>
    <w:rsid w:val="F7FF311B"/>
    <w:rsid w:val="F8FF947A"/>
    <w:rsid w:val="FAFDB593"/>
    <w:rsid w:val="FAFF77BC"/>
    <w:rsid w:val="FBCEBB90"/>
    <w:rsid w:val="FBFB032A"/>
    <w:rsid w:val="FBFFBC43"/>
    <w:rsid w:val="FCFB435D"/>
    <w:rsid w:val="FD1D5D8B"/>
    <w:rsid w:val="FD1D8327"/>
    <w:rsid w:val="FD5F7B13"/>
    <w:rsid w:val="FDBEBB72"/>
    <w:rsid w:val="FE734873"/>
    <w:rsid w:val="FEDEB4CA"/>
    <w:rsid w:val="FEE63162"/>
    <w:rsid w:val="FEEDCFAA"/>
    <w:rsid w:val="FEEFE1E5"/>
    <w:rsid w:val="FEF79DFC"/>
    <w:rsid w:val="FEFEE4AF"/>
    <w:rsid w:val="FEFF4951"/>
    <w:rsid w:val="FF2FA6E5"/>
    <w:rsid w:val="FF37898D"/>
    <w:rsid w:val="FF5F1B95"/>
    <w:rsid w:val="FF724A99"/>
    <w:rsid w:val="FF737244"/>
    <w:rsid w:val="FFBF25AE"/>
    <w:rsid w:val="FFCDCCE7"/>
    <w:rsid w:val="FFD970A3"/>
    <w:rsid w:val="FFDB7C45"/>
    <w:rsid w:val="FFEF80E3"/>
    <w:rsid w:val="FFF45F86"/>
    <w:rsid w:val="FFFD433D"/>
    <w:rsid w:val="FFFD6089"/>
    <w:rsid w:val="FFFE85D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9"/>
    <w:pPr>
      <w:keepNext/>
      <w:keepLines/>
      <w:spacing w:before="260" w:after="260" w:line="416" w:lineRule="auto"/>
      <w:outlineLvl w:val="1"/>
    </w:pPr>
    <w:rPr>
      <w:rFonts w:ascii="Cambria" w:hAnsi="Cambria" w:eastAsia="宋体" w:cs="Times New Roman"/>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bCs/>
    </w:rPr>
  </w:style>
  <w:style w:type="character" w:styleId="9">
    <w:name w:val="FollowedHyperlink"/>
    <w:basedOn w:val="7"/>
    <w:qFormat/>
    <w:uiPriority w:val="0"/>
    <w:rPr>
      <w:color w:val="800080"/>
      <w:u w:val="none"/>
    </w:rPr>
  </w:style>
  <w:style w:type="character" w:styleId="10">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pn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8.png"/><Relationship Id="rId11" Type="http://schemas.openxmlformats.org/officeDocument/2006/relationships/image" Target="media/image7.jpe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2022-01-10T01:11:00Z</dcterms:created>
  <dc:creator>user</dc:creator>
  <cp:lastModifiedBy>user</cp:lastModifiedBy>
  <cp:lastPrinted>2022-01-13T09:41:00Z</cp:lastPrinted>
  <dcterms:modified xsi:type="dcterms:W3CDTF">2022-01-24T17:56:44Z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2D606A27A8E34D15ACC55C06CBF91153</vt:lpwstr>
  </property>
</Properties>
</file>